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AC1F0" w14:textId="247542A1" w:rsidR="0067385D" w:rsidRDefault="0067385D" w:rsidP="0067385D">
      <w:pPr>
        <w:spacing w:after="0"/>
        <w:rPr>
          <w:rFonts w:ascii="Arial" w:hAnsi="Arial" w:cs="Arial"/>
        </w:rPr>
      </w:pPr>
      <w:r>
        <w:rPr>
          <w:rFonts w:ascii="Arial" w:hAnsi="Arial" w:cs="Arial"/>
        </w:rPr>
        <w:t>Does Predictability Affect Reference Form? It depends on the verb</w:t>
      </w:r>
    </w:p>
    <w:p w14:paraId="05AEF838" w14:textId="77777777" w:rsidR="0067385D" w:rsidRDefault="0067385D" w:rsidP="0067385D">
      <w:pPr>
        <w:spacing w:after="0"/>
        <w:rPr>
          <w:rFonts w:ascii="Arial" w:hAnsi="Arial" w:cs="Arial"/>
        </w:rPr>
      </w:pPr>
    </w:p>
    <w:p w14:paraId="2B506B59" w14:textId="22FA159B" w:rsidR="00E64EA8" w:rsidRDefault="0042639A" w:rsidP="00BB1D30">
      <w:pPr>
        <w:spacing w:after="0"/>
        <w:ind w:firstLine="720"/>
        <w:rPr>
          <w:rFonts w:ascii="Arial" w:hAnsi="Arial" w:cs="Arial"/>
        </w:rPr>
      </w:pPr>
      <w:r w:rsidRPr="00F73D0B">
        <w:rPr>
          <w:rFonts w:ascii="Arial" w:hAnsi="Arial" w:cs="Arial"/>
        </w:rPr>
        <w:t xml:space="preserve">The structure of events appears to influence the way people talk about them. In some cases (see ex. 1), </w:t>
      </w:r>
      <w:r w:rsidR="00802B4D" w:rsidRPr="00F73D0B">
        <w:rPr>
          <w:rFonts w:ascii="Arial" w:hAnsi="Arial" w:cs="Arial"/>
        </w:rPr>
        <w:t>event roles</w:t>
      </w:r>
      <w:r w:rsidRPr="00F73D0B">
        <w:rPr>
          <w:rFonts w:ascii="Arial" w:hAnsi="Arial" w:cs="Arial"/>
        </w:rPr>
        <w:t xml:space="preserve"> have a much higher tendency to be mentioned again – that is, they are predictable.</w:t>
      </w:r>
      <w:r w:rsidR="008C27E8" w:rsidRPr="00F73D0B">
        <w:rPr>
          <w:rFonts w:ascii="Arial" w:hAnsi="Arial" w:cs="Arial"/>
        </w:rPr>
        <w:t xml:space="preserve"> In </w:t>
      </w:r>
      <w:r w:rsidR="00FE5073" w:rsidRPr="00F73D0B">
        <w:rPr>
          <w:rFonts w:ascii="Arial" w:hAnsi="Arial" w:cs="Arial"/>
        </w:rPr>
        <w:t xml:space="preserve">emotion verbs like </w:t>
      </w:r>
      <w:r w:rsidR="008C27E8" w:rsidRPr="00F73D0B">
        <w:rPr>
          <w:rFonts w:ascii="Arial" w:hAnsi="Arial" w:cs="Arial"/>
        </w:rPr>
        <w:t xml:space="preserve">(1), </w:t>
      </w:r>
      <w:r w:rsidR="005605DB">
        <w:rPr>
          <w:rFonts w:ascii="Arial" w:hAnsi="Arial" w:cs="Arial"/>
        </w:rPr>
        <w:t>Sandy</w:t>
      </w:r>
      <w:r w:rsidR="008C27E8" w:rsidRPr="00F73D0B">
        <w:rPr>
          <w:rFonts w:ascii="Arial" w:hAnsi="Arial" w:cs="Arial"/>
        </w:rPr>
        <w:t xml:space="preserve"> is considered the expected cause of the scaring/fearing events, and is more likely to be mentioned again (</w:t>
      </w:r>
      <w:r w:rsidR="00A45322" w:rsidRPr="00F73D0B">
        <w:rPr>
          <w:rFonts w:ascii="Arial" w:hAnsi="Arial" w:cs="Arial"/>
        </w:rPr>
        <w:t xml:space="preserve">Fukumura &amp; van Gompel, 2010; </w:t>
      </w:r>
      <w:r w:rsidR="00E356F2" w:rsidRPr="00F73D0B">
        <w:rPr>
          <w:rFonts w:ascii="Arial" w:hAnsi="Arial" w:cs="Arial"/>
        </w:rPr>
        <w:t xml:space="preserve">Hartshorne </w:t>
      </w:r>
      <w:r w:rsidR="00E44170" w:rsidRPr="00F73D0B">
        <w:rPr>
          <w:rFonts w:ascii="Arial" w:hAnsi="Arial" w:cs="Arial"/>
        </w:rPr>
        <w:t xml:space="preserve">et al., </w:t>
      </w:r>
      <w:r w:rsidR="00A40C23" w:rsidRPr="00F73D0B">
        <w:rPr>
          <w:rFonts w:ascii="Arial" w:hAnsi="Arial" w:cs="Arial"/>
        </w:rPr>
        <w:t>2015</w:t>
      </w:r>
      <w:r w:rsidR="00E44170" w:rsidRPr="00F73D0B">
        <w:rPr>
          <w:rFonts w:ascii="Arial" w:hAnsi="Arial" w:cs="Arial"/>
        </w:rPr>
        <w:t xml:space="preserve">; </w:t>
      </w:r>
      <w:r w:rsidR="00A45322" w:rsidRPr="00F73D0B">
        <w:rPr>
          <w:rFonts w:ascii="Arial" w:hAnsi="Arial" w:cs="Arial"/>
        </w:rPr>
        <w:t>Kehler et al., 2008)</w:t>
      </w:r>
      <w:r w:rsidR="008C27E8" w:rsidRPr="00F73D0B">
        <w:rPr>
          <w:rFonts w:ascii="Arial" w:hAnsi="Arial" w:cs="Arial"/>
        </w:rPr>
        <w:t>.</w:t>
      </w:r>
      <w:r w:rsidR="00E5466B" w:rsidRPr="00F73D0B">
        <w:rPr>
          <w:rFonts w:ascii="Arial" w:hAnsi="Arial" w:cs="Arial"/>
        </w:rPr>
        <w:t xml:space="preserve"> In (2), </w:t>
      </w:r>
      <w:r w:rsidR="005605DB">
        <w:rPr>
          <w:rFonts w:ascii="Arial" w:hAnsi="Arial" w:cs="Arial"/>
        </w:rPr>
        <w:t>Kathryn</w:t>
      </w:r>
      <w:r w:rsidR="00E5466B" w:rsidRPr="00F73D0B">
        <w:rPr>
          <w:rFonts w:ascii="Arial" w:hAnsi="Arial" w:cs="Arial"/>
        </w:rPr>
        <w:t xml:space="preserve"> is the goal of the transfer event, and is expected to participate in the next event, thus making </w:t>
      </w:r>
      <w:r w:rsidR="00576DBA">
        <w:rPr>
          <w:rFonts w:ascii="Arial" w:hAnsi="Arial" w:cs="Arial"/>
        </w:rPr>
        <w:t>her</w:t>
      </w:r>
      <w:r w:rsidR="00E5466B" w:rsidRPr="00F73D0B">
        <w:rPr>
          <w:rFonts w:ascii="Arial" w:hAnsi="Arial" w:cs="Arial"/>
        </w:rPr>
        <w:t xml:space="preserve"> more likely to be </w:t>
      </w:r>
      <w:r w:rsidR="0022489D" w:rsidRPr="00F73D0B">
        <w:rPr>
          <w:rFonts w:ascii="Arial" w:hAnsi="Arial" w:cs="Arial"/>
        </w:rPr>
        <w:t>mentioned (Stevenson et al., 199</w:t>
      </w:r>
      <w:r w:rsidR="00E5466B" w:rsidRPr="00F73D0B">
        <w:rPr>
          <w:rFonts w:ascii="Arial" w:hAnsi="Arial" w:cs="Arial"/>
        </w:rPr>
        <w:t>4).</w:t>
      </w:r>
      <w:r w:rsidR="009572B1" w:rsidRPr="00F73D0B">
        <w:rPr>
          <w:rFonts w:ascii="Arial" w:hAnsi="Arial" w:cs="Arial"/>
        </w:rPr>
        <w:t xml:space="preserve"> Critically, these biases depend on the relation between the two clauses, where the implicit causality effects in (1) are supported by a causal continuation, and the goal bias in (2) is supported by a next-mention continuation.</w:t>
      </w:r>
    </w:p>
    <w:p w14:paraId="6963FFE3" w14:textId="77777777" w:rsidR="00591D51" w:rsidRPr="00F73D0B" w:rsidRDefault="00591D51" w:rsidP="00BB1D30">
      <w:pPr>
        <w:spacing w:after="0"/>
        <w:ind w:firstLine="720"/>
        <w:rPr>
          <w:rFonts w:ascii="Arial" w:hAnsi="Arial" w:cs="Arial"/>
        </w:rPr>
      </w:pPr>
      <w:bookmarkStart w:id="0" w:name="_GoBack"/>
      <w:bookmarkEnd w:id="0"/>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130"/>
      </w:tblGrid>
      <w:tr w:rsidR="00B05EDF" w:rsidRPr="00F73D0B" w14:paraId="6E89E71D" w14:textId="77777777" w:rsidTr="0004096A">
        <w:tc>
          <w:tcPr>
            <w:tcW w:w="3960" w:type="dxa"/>
          </w:tcPr>
          <w:p w14:paraId="5657D162" w14:textId="558678CC" w:rsidR="00B05EDF" w:rsidRPr="00F73D0B" w:rsidRDefault="00B05EDF" w:rsidP="000E7BFA">
            <w:pPr>
              <w:rPr>
                <w:rFonts w:ascii="Arial" w:hAnsi="Arial" w:cs="Arial"/>
              </w:rPr>
            </w:pPr>
            <w:r w:rsidRPr="00F73D0B">
              <w:rPr>
                <w:rFonts w:ascii="Arial" w:hAnsi="Arial" w:cs="Arial"/>
              </w:rPr>
              <w:t xml:space="preserve">1a. </w:t>
            </w:r>
            <w:r w:rsidR="000E7BFA">
              <w:rPr>
                <w:rFonts w:ascii="Arial" w:hAnsi="Arial" w:cs="Arial"/>
              </w:rPr>
              <w:t>Sandy</w:t>
            </w:r>
            <w:r w:rsidRPr="00F73D0B">
              <w:rPr>
                <w:rFonts w:ascii="Arial" w:hAnsi="Arial" w:cs="Arial"/>
              </w:rPr>
              <w:t xml:space="preserve"> scared </w:t>
            </w:r>
            <w:r w:rsidR="000E7BFA">
              <w:rPr>
                <w:rFonts w:ascii="Arial" w:hAnsi="Arial" w:cs="Arial"/>
              </w:rPr>
              <w:t>Kathryn</w:t>
            </w:r>
            <w:r w:rsidRPr="00F73D0B">
              <w:rPr>
                <w:rFonts w:ascii="Arial" w:hAnsi="Arial" w:cs="Arial"/>
              </w:rPr>
              <w:t xml:space="preserve"> because…</w:t>
            </w:r>
          </w:p>
          <w:p w14:paraId="733622D5" w14:textId="712E526C" w:rsidR="00B05EDF" w:rsidRPr="00F73D0B" w:rsidRDefault="00B05EDF" w:rsidP="000E7BFA">
            <w:pPr>
              <w:rPr>
                <w:rFonts w:ascii="Arial" w:hAnsi="Arial" w:cs="Arial"/>
              </w:rPr>
            </w:pPr>
            <w:r w:rsidRPr="00F73D0B">
              <w:rPr>
                <w:rFonts w:ascii="Arial" w:hAnsi="Arial" w:cs="Arial"/>
              </w:rPr>
              <w:t xml:space="preserve">1b. </w:t>
            </w:r>
            <w:r w:rsidR="000E7BFA">
              <w:rPr>
                <w:rFonts w:ascii="Arial" w:hAnsi="Arial" w:cs="Arial"/>
              </w:rPr>
              <w:t>Kathryn</w:t>
            </w:r>
            <w:r w:rsidR="000E7BFA" w:rsidRPr="00F73D0B">
              <w:rPr>
                <w:rFonts w:ascii="Arial" w:hAnsi="Arial" w:cs="Arial"/>
              </w:rPr>
              <w:t xml:space="preserve"> </w:t>
            </w:r>
            <w:r w:rsidRPr="00F73D0B">
              <w:rPr>
                <w:rFonts w:ascii="Arial" w:hAnsi="Arial" w:cs="Arial"/>
              </w:rPr>
              <w:t xml:space="preserve">feared </w:t>
            </w:r>
            <w:r w:rsidR="000E7BFA">
              <w:rPr>
                <w:rFonts w:ascii="Arial" w:hAnsi="Arial" w:cs="Arial"/>
              </w:rPr>
              <w:t>Sandy</w:t>
            </w:r>
            <w:r w:rsidRPr="00F73D0B">
              <w:rPr>
                <w:rFonts w:ascii="Arial" w:hAnsi="Arial" w:cs="Arial"/>
              </w:rPr>
              <w:t xml:space="preserve"> because…</w:t>
            </w:r>
          </w:p>
        </w:tc>
        <w:tc>
          <w:tcPr>
            <w:tcW w:w="5130" w:type="dxa"/>
          </w:tcPr>
          <w:p w14:paraId="73CE4EB5" w14:textId="23558AF4" w:rsidR="00B05EDF" w:rsidRPr="00F73D0B" w:rsidRDefault="00B05EDF" w:rsidP="002F6C8C">
            <w:pPr>
              <w:rPr>
                <w:rFonts w:ascii="Arial" w:hAnsi="Arial" w:cs="Arial"/>
              </w:rPr>
            </w:pPr>
            <w:r w:rsidRPr="00F73D0B">
              <w:rPr>
                <w:rFonts w:ascii="Arial" w:hAnsi="Arial" w:cs="Arial"/>
              </w:rPr>
              <w:t xml:space="preserve">2a. </w:t>
            </w:r>
            <w:r w:rsidR="000E7BFA">
              <w:rPr>
                <w:rFonts w:ascii="Arial" w:hAnsi="Arial" w:cs="Arial"/>
              </w:rPr>
              <w:t>Sandy</w:t>
            </w:r>
            <w:r w:rsidR="000E7BFA" w:rsidRPr="00F73D0B">
              <w:rPr>
                <w:rFonts w:ascii="Arial" w:hAnsi="Arial" w:cs="Arial"/>
              </w:rPr>
              <w:t xml:space="preserve"> </w:t>
            </w:r>
            <w:r w:rsidRPr="00F73D0B">
              <w:rPr>
                <w:rFonts w:ascii="Arial" w:hAnsi="Arial" w:cs="Arial"/>
              </w:rPr>
              <w:t xml:space="preserve">threw the ball to </w:t>
            </w:r>
            <w:r w:rsidR="000E7BFA">
              <w:rPr>
                <w:rFonts w:ascii="Arial" w:hAnsi="Arial" w:cs="Arial"/>
              </w:rPr>
              <w:t>Kathryn</w:t>
            </w:r>
            <w:r w:rsidRPr="00F73D0B">
              <w:rPr>
                <w:rFonts w:ascii="Arial" w:hAnsi="Arial" w:cs="Arial"/>
              </w:rPr>
              <w:t>. Then…</w:t>
            </w:r>
          </w:p>
          <w:p w14:paraId="7EE33C36" w14:textId="280BD3B5" w:rsidR="00B05EDF" w:rsidRPr="00F73D0B" w:rsidRDefault="00B05EDF" w:rsidP="000749D3">
            <w:pPr>
              <w:rPr>
                <w:rFonts w:ascii="Arial" w:hAnsi="Arial" w:cs="Arial"/>
              </w:rPr>
            </w:pPr>
            <w:r w:rsidRPr="00F73D0B">
              <w:rPr>
                <w:rFonts w:ascii="Arial" w:hAnsi="Arial" w:cs="Arial"/>
              </w:rPr>
              <w:t xml:space="preserve">2b. </w:t>
            </w:r>
            <w:r w:rsidR="000E7BFA">
              <w:rPr>
                <w:rFonts w:ascii="Arial" w:hAnsi="Arial" w:cs="Arial"/>
              </w:rPr>
              <w:t>Kathryn</w:t>
            </w:r>
            <w:r w:rsidR="000E7BFA" w:rsidRPr="00F73D0B">
              <w:rPr>
                <w:rFonts w:ascii="Arial" w:hAnsi="Arial" w:cs="Arial"/>
              </w:rPr>
              <w:t xml:space="preserve"> </w:t>
            </w:r>
            <w:r w:rsidRPr="00F73D0B">
              <w:rPr>
                <w:rFonts w:ascii="Arial" w:hAnsi="Arial" w:cs="Arial"/>
              </w:rPr>
              <w:t xml:space="preserve">caught the ball from </w:t>
            </w:r>
            <w:r w:rsidR="000E7BFA">
              <w:rPr>
                <w:rFonts w:ascii="Arial" w:hAnsi="Arial" w:cs="Arial"/>
              </w:rPr>
              <w:t>Sandy</w:t>
            </w:r>
            <w:r w:rsidRPr="00F73D0B">
              <w:rPr>
                <w:rFonts w:ascii="Arial" w:hAnsi="Arial" w:cs="Arial"/>
              </w:rPr>
              <w:t>. Then…</w:t>
            </w:r>
          </w:p>
        </w:tc>
      </w:tr>
    </w:tbl>
    <w:p w14:paraId="704423DA" w14:textId="77777777" w:rsidR="000749D3" w:rsidRDefault="000749D3" w:rsidP="002C38BC">
      <w:pPr>
        <w:spacing w:after="0"/>
        <w:rPr>
          <w:rFonts w:ascii="Arial" w:hAnsi="Arial" w:cs="Arial"/>
        </w:rPr>
      </w:pPr>
    </w:p>
    <w:p w14:paraId="01205151" w14:textId="372107A9" w:rsidR="000749D3" w:rsidRDefault="000749D3" w:rsidP="00F82694">
      <w:pPr>
        <w:spacing w:after="0"/>
        <w:ind w:firstLine="720"/>
        <w:rPr>
          <w:rFonts w:ascii="Arial" w:hAnsi="Arial" w:cs="Arial"/>
        </w:rPr>
      </w:pPr>
      <w:r>
        <w:rPr>
          <w:rFonts w:ascii="Arial" w:hAnsi="Arial" w:cs="Arial"/>
        </w:rPr>
        <w:t xml:space="preserve">A </w:t>
      </w:r>
      <w:r w:rsidR="00457A10">
        <w:rPr>
          <w:rFonts w:ascii="Arial" w:hAnsi="Arial" w:cs="Arial"/>
        </w:rPr>
        <w:t xml:space="preserve">debated question is whether thematic role </w:t>
      </w:r>
      <w:r>
        <w:rPr>
          <w:rFonts w:ascii="Arial" w:hAnsi="Arial" w:cs="Arial"/>
        </w:rPr>
        <w:t xml:space="preserve">predictability </w:t>
      </w:r>
      <w:r w:rsidR="00457A10">
        <w:rPr>
          <w:rFonts w:ascii="Arial" w:hAnsi="Arial" w:cs="Arial"/>
        </w:rPr>
        <w:t xml:space="preserve">affects the </w:t>
      </w:r>
      <w:r w:rsidR="00F82694">
        <w:rPr>
          <w:rFonts w:ascii="Arial" w:hAnsi="Arial" w:cs="Arial"/>
        </w:rPr>
        <w:t xml:space="preserve">use of reduced referential expressions, like pronouns. </w:t>
      </w:r>
      <w:r w:rsidR="0048459E">
        <w:rPr>
          <w:rFonts w:ascii="Arial" w:hAnsi="Arial" w:cs="Arial"/>
        </w:rPr>
        <w:t xml:space="preserve">Sentence-completion experiments have yielded conflicting data, with some authors arguing that pronouns are more common for predictable referents (Arnold, 2011), while others presenting data that thematic roles have no effect on pronoun use (Fukumura &amp; van Gompel, 2010; Kehler et al., 2008). </w:t>
      </w:r>
    </w:p>
    <w:p w14:paraId="4B4CC5B1" w14:textId="7C9E0B71" w:rsidR="00FB475C" w:rsidRDefault="00FB475C" w:rsidP="00F82694">
      <w:pPr>
        <w:spacing w:after="0"/>
        <w:ind w:firstLine="720"/>
        <w:rPr>
          <w:rFonts w:ascii="Arial" w:hAnsi="Arial" w:cs="Arial"/>
        </w:rPr>
      </w:pPr>
      <w:r>
        <w:rPr>
          <w:rFonts w:ascii="Arial" w:hAnsi="Arial" w:cs="Arial"/>
        </w:rPr>
        <w:t>I present the results of a series of studies, which examined this question in detail. We designed a novel story-t</w:t>
      </w:r>
      <w:r w:rsidR="006A5E2A">
        <w:rPr>
          <w:rFonts w:ascii="Arial" w:hAnsi="Arial" w:cs="Arial"/>
        </w:rPr>
        <w:t xml:space="preserve">elling task, </w:t>
      </w:r>
      <w:r>
        <w:rPr>
          <w:rFonts w:ascii="Arial" w:hAnsi="Arial" w:cs="Arial"/>
        </w:rPr>
        <w:t xml:space="preserve">in which participants </w:t>
      </w:r>
      <w:r w:rsidR="006A5E2A">
        <w:rPr>
          <w:rFonts w:ascii="Arial" w:hAnsi="Arial" w:cs="Arial"/>
        </w:rPr>
        <w:t>heard a description of one panel, and provided an oral description of the second panel (see Fig. 1).</w:t>
      </w:r>
      <w:r>
        <w:rPr>
          <w:rFonts w:ascii="Arial" w:hAnsi="Arial" w:cs="Arial"/>
        </w:rPr>
        <w:t xml:space="preserve"> </w:t>
      </w:r>
    </w:p>
    <w:p w14:paraId="5B4903F2" w14:textId="77777777" w:rsidR="00FB475C" w:rsidRDefault="00FB475C" w:rsidP="00F82694">
      <w:pPr>
        <w:spacing w:after="0"/>
        <w:ind w:firstLine="720"/>
        <w:rPr>
          <w:rFonts w:ascii="Arial" w:hAnsi="Arial" w:cs="Arial"/>
        </w:rPr>
      </w:pPr>
    </w:p>
    <w:tbl>
      <w:tblPr>
        <w:tblW w:w="0" w:type="auto"/>
        <w:tblLayout w:type="fixed"/>
        <w:tblLook w:val="04A0" w:firstRow="1" w:lastRow="0" w:firstColumn="1" w:lastColumn="0" w:noHBand="0" w:noVBand="1"/>
      </w:tblPr>
      <w:tblGrid>
        <w:gridCol w:w="2718"/>
        <w:gridCol w:w="2700"/>
        <w:gridCol w:w="4050"/>
      </w:tblGrid>
      <w:tr w:rsidR="006A5E2A" w:rsidRPr="00ED7EA6" w14:paraId="5B2CD58F" w14:textId="77777777" w:rsidTr="00266AC4">
        <w:tc>
          <w:tcPr>
            <w:tcW w:w="2718" w:type="dxa"/>
            <w:shd w:val="clear" w:color="auto" w:fill="auto"/>
          </w:tcPr>
          <w:p w14:paraId="77FC72AE" w14:textId="16F6A583" w:rsidR="006A5E2A" w:rsidRPr="00ED7EA6" w:rsidRDefault="006A5E2A" w:rsidP="00266AC4">
            <w:pPr>
              <w:ind w:right="6"/>
              <w:rPr>
                <w:rFonts w:ascii="Arial" w:hAnsi="Arial" w:cs="Arial"/>
              </w:rPr>
            </w:pPr>
            <w:r>
              <w:rPr>
                <w:rFonts w:ascii="Arial" w:hAnsi="Arial" w:cs="Arial"/>
                <w:noProof/>
              </w:rPr>
              <w:drawing>
                <wp:inline distT="0" distB="0" distL="0" distR="0" wp14:anchorId="3EE728E9" wp14:editId="76FE5B04">
                  <wp:extent cx="1642745" cy="1236345"/>
                  <wp:effectExtent l="0" t="0" r="8255" b="8255"/>
                  <wp:docPr id="3" name="Picture 1" descr="46_1_S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_1_St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2745" cy="1236345"/>
                          </a:xfrm>
                          <a:prstGeom prst="rect">
                            <a:avLst/>
                          </a:prstGeom>
                          <a:noFill/>
                          <a:ln>
                            <a:noFill/>
                          </a:ln>
                        </pic:spPr>
                      </pic:pic>
                    </a:graphicData>
                  </a:graphic>
                </wp:inline>
              </w:drawing>
            </w:r>
          </w:p>
        </w:tc>
        <w:tc>
          <w:tcPr>
            <w:tcW w:w="2700" w:type="dxa"/>
            <w:shd w:val="clear" w:color="auto" w:fill="auto"/>
          </w:tcPr>
          <w:p w14:paraId="2AC870AD" w14:textId="0CC21855" w:rsidR="006A5E2A" w:rsidRPr="00ED7EA6" w:rsidRDefault="006A5E2A" w:rsidP="00266AC4">
            <w:pPr>
              <w:ind w:left="-312" w:firstLine="312"/>
              <w:rPr>
                <w:rFonts w:ascii="Arial" w:hAnsi="Arial" w:cs="Arial"/>
              </w:rPr>
            </w:pPr>
            <w:r>
              <w:rPr>
                <w:rFonts w:ascii="Arial" w:hAnsi="Arial" w:cs="Arial"/>
                <w:noProof/>
              </w:rPr>
              <w:drawing>
                <wp:inline distT="0" distB="0" distL="0" distR="0" wp14:anchorId="451955C6" wp14:editId="6BFE103E">
                  <wp:extent cx="1633855" cy="1219200"/>
                  <wp:effectExtent l="0" t="0" r="0" b="0"/>
                  <wp:docPr id="2" name="Picture 2" descr="46_2_S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6_2_St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3855" cy="1219200"/>
                          </a:xfrm>
                          <a:prstGeom prst="rect">
                            <a:avLst/>
                          </a:prstGeom>
                          <a:noFill/>
                          <a:ln>
                            <a:noFill/>
                          </a:ln>
                        </pic:spPr>
                      </pic:pic>
                    </a:graphicData>
                  </a:graphic>
                </wp:inline>
              </w:drawing>
            </w:r>
          </w:p>
        </w:tc>
        <w:tc>
          <w:tcPr>
            <w:tcW w:w="4050" w:type="dxa"/>
            <w:shd w:val="clear" w:color="auto" w:fill="auto"/>
          </w:tcPr>
          <w:p w14:paraId="43F32FFA" w14:textId="77777777" w:rsidR="006A5E2A" w:rsidRDefault="006A5E2A" w:rsidP="00266AC4">
            <w:pPr>
              <w:ind w:right="72" w:firstLine="6"/>
              <w:rPr>
                <w:rFonts w:ascii="Arial" w:hAnsi="Arial" w:cs="Arial"/>
              </w:rPr>
            </w:pPr>
            <w:r>
              <w:rPr>
                <w:rFonts w:ascii="Arial" w:hAnsi="Arial" w:cs="Arial"/>
              </w:rPr>
              <w:t xml:space="preserve">Participant hears: </w:t>
            </w:r>
          </w:p>
          <w:p w14:paraId="2E330A54" w14:textId="77777777" w:rsidR="006A5E2A" w:rsidRDefault="006A5E2A" w:rsidP="00266AC4">
            <w:pPr>
              <w:ind w:right="72" w:firstLine="6"/>
              <w:rPr>
                <w:rFonts w:ascii="Arial" w:hAnsi="Arial" w:cs="Arial"/>
              </w:rPr>
            </w:pPr>
            <w:r>
              <w:rPr>
                <w:rFonts w:ascii="Arial" w:hAnsi="Arial" w:cs="Arial"/>
              </w:rPr>
              <w:t>“The butler gave a fur coat to the maid” OR “The maid received a fur coat from the butler.”</w:t>
            </w:r>
          </w:p>
          <w:p w14:paraId="6697733D" w14:textId="688BE4CB" w:rsidR="006A5E2A" w:rsidRPr="00ED7EA6" w:rsidRDefault="006A5E2A" w:rsidP="00266AC4">
            <w:pPr>
              <w:ind w:right="72" w:firstLine="6"/>
              <w:rPr>
                <w:rFonts w:ascii="Arial" w:hAnsi="Arial" w:cs="Arial"/>
              </w:rPr>
            </w:pPr>
            <w:r>
              <w:rPr>
                <w:rFonts w:ascii="Arial" w:hAnsi="Arial" w:cs="Arial"/>
              </w:rPr>
              <w:t>Response: {The butler / He…}</w:t>
            </w:r>
          </w:p>
        </w:tc>
      </w:tr>
    </w:tbl>
    <w:p w14:paraId="7BF43E28" w14:textId="60809D98" w:rsidR="00B43623" w:rsidRDefault="001F32DF" w:rsidP="00B43623">
      <w:pPr>
        <w:spacing w:after="0"/>
        <w:rPr>
          <w:rFonts w:ascii="Arial" w:hAnsi="Arial" w:cs="Arial"/>
        </w:rPr>
      </w:pPr>
      <w:r>
        <w:rPr>
          <w:rFonts w:ascii="Arial" w:hAnsi="Arial" w:cs="Arial"/>
        </w:rPr>
        <w:t xml:space="preserve">In experiments examining goal-source verbs, we found strong support for the hypothesis that thematic role does influence referential form. </w:t>
      </w:r>
      <w:r w:rsidR="00353908">
        <w:rPr>
          <w:rFonts w:ascii="Arial" w:hAnsi="Arial" w:cs="Arial"/>
        </w:rPr>
        <w:t>However, experiments examining emotion verbs presented mixed results. A corpus analysis suggests that these verb types may differ in the way they are used in discourse, affecting both the perceived predictability of discourse entities, and their relationship to discourse accessibility.</w:t>
      </w:r>
      <w:r w:rsidR="00B43623" w:rsidRPr="00B43623">
        <w:rPr>
          <w:rFonts w:ascii="Arial" w:hAnsi="Arial" w:cs="Arial"/>
        </w:rPr>
        <w:t xml:space="preserve"> </w:t>
      </w:r>
    </w:p>
    <w:p w14:paraId="1A736F41" w14:textId="77777777" w:rsidR="006C4349" w:rsidRDefault="006C4349" w:rsidP="00B43623">
      <w:pPr>
        <w:spacing w:after="0"/>
        <w:rPr>
          <w:rFonts w:ascii="Arial" w:hAnsi="Arial" w:cs="Arial"/>
        </w:rPr>
      </w:pPr>
    </w:p>
    <w:p w14:paraId="640190F2" w14:textId="77777777" w:rsidR="00B43623" w:rsidRPr="0022489D" w:rsidRDefault="00B43623" w:rsidP="00B43623">
      <w:pPr>
        <w:spacing w:after="0"/>
        <w:rPr>
          <w:rFonts w:ascii="Times" w:hAnsi="Times"/>
          <w:i/>
          <w:sz w:val="16"/>
          <w:szCs w:val="24"/>
        </w:rPr>
      </w:pPr>
      <w:r w:rsidRPr="0022489D">
        <w:rPr>
          <w:rFonts w:ascii="Times" w:hAnsi="Times"/>
          <w:sz w:val="16"/>
          <w:szCs w:val="24"/>
        </w:rPr>
        <w:t xml:space="preserve">Arnold, J.E. (2001). The effect of thematic roles on pronoun use and frequency of reference continuation. </w:t>
      </w:r>
      <w:r w:rsidRPr="0022489D">
        <w:rPr>
          <w:rFonts w:ascii="Times" w:hAnsi="Times"/>
          <w:i/>
          <w:sz w:val="16"/>
          <w:szCs w:val="24"/>
        </w:rPr>
        <w:t>Discourse Processing, 31</w:t>
      </w:r>
      <w:r w:rsidRPr="0022489D">
        <w:rPr>
          <w:rFonts w:ascii="Times" w:hAnsi="Times"/>
          <w:sz w:val="16"/>
          <w:szCs w:val="24"/>
        </w:rPr>
        <w:t>(2), 137–162.</w:t>
      </w:r>
    </w:p>
    <w:p w14:paraId="2B227D0A" w14:textId="77777777" w:rsidR="00B43623" w:rsidRPr="0022489D" w:rsidRDefault="00B43623" w:rsidP="00B43623">
      <w:pPr>
        <w:spacing w:after="0"/>
        <w:rPr>
          <w:rFonts w:ascii="Times" w:hAnsi="Times"/>
          <w:sz w:val="16"/>
          <w:szCs w:val="24"/>
        </w:rPr>
      </w:pPr>
      <w:r w:rsidRPr="0022489D">
        <w:rPr>
          <w:rFonts w:ascii="Times" w:hAnsi="Times"/>
          <w:sz w:val="16"/>
          <w:szCs w:val="24"/>
        </w:rPr>
        <w:t>Fukumura, K. &amp; van Gompel, R. P.</w:t>
      </w:r>
      <w:r>
        <w:rPr>
          <w:rFonts w:ascii="Times" w:hAnsi="Times"/>
          <w:sz w:val="16"/>
          <w:szCs w:val="24"/>
        </w:rPr>
        <w:t xml:space="preserve"> </w:t>
      </w:r>
      <w:r w:rsidRPr="0022489D">
        <w:rPr>
          <w:rFonts w:ascii="Times" w:hAnsi="Times"/>
          <w:sz w:val="16"/>
          <w:szCs w:val="24"/>
        </w:rPr>
        <w:t>G. (2010). Choosing anaphoric expressions:</w:t>
      </w:r>
      <w:r>
        <w:rPr>
          <w:rFonts w:ascii="Times" w:hAnsi="Times"/>
          <w:sz w:val="16"/>
          <w:szCs w:val="24"/>
        </w:rPr>
        <w:t>…</w:t>
      </w:r>
      <w:r w:rsidRPr="0022489D">
        <w:rPr>
          <w:rFonts w:ascii="Times" w:hAnsi="Times"/>
          <w:sz w:val="16"/>
          <w:szCs w:val="24"/>
        </w:rPr>
        <w:t xml:space="preserve"> </w:t>
      </w:r>
      <w:r w:rsidRPr="0022489D">
        <w:rPr>
          <w:rFonts w:ascii="Times" w:hAnsi="Times"/>
          <w:i/>
          <w:sz w:val="16"/>
          <w:szCs w:val="24"/>
        </w:rPr>
        <w:t xml:space="preserve">Journal of Memory and Language. 62, </w:t>
      </w:r>
      <w:r w:rsidRPr="0022489D">
        <w:rPr>
          <w:rFonts w:ascii="Times" w:hAnsi="Times"/>
          <w:sz w:val="16"/>
          <w:szCs w:val="24"/>
        </w:rPr>
        <w:t>52–66.</w:t>
      </w:r>
    </w:p>
    <w:p w14:paraId="6523BC67" w14:textId="77777777" w:rsidR="00B43623" w:rsidRPr="0022489D" w:rsidRDefault="00B43623" w:rsidP="00B43623">
      <w:pPr>
        <w:spacing w:after="0"/>
        <w:rPr>
          <w:rFonts w:ascii="Times" w:hAnsi="Times"/>
          <w:sz w:val="16"/>
          <w:szCs w:val="24"/>
        </w:rPr>
      </w:pPr>
      <w:r w:rsidRPr="0022489D">
        <w:rPr>
          <w:rFonts w:ascii="Times" w:hAnsi="Times"/>
          <w:sz w:val="16"/>
          <w:szCs w:val="24"/>
        </w:rPr>
        <w:t xml:space="preserve">Hartshorne, J.K., O'Donnell, T.J., &amp; Tenenbaum, J.B. (2015). The causes and consequences explicit in verbs. </w:t>
      </w:r>
      <w:r>
        <w:rPr>
          <w:rFonts w:ascii="Times" w:hAnsi="Times"/>
          <w:i/>
          <w:sz w:val="16"/>
          <w:szCs w:val="24"/>
        </w:rPr>
        <w:t>LCP</w:t>
      </w:r>
      <w:r w:rsidRPr="0022489D">
        <w:rPr>
          <w:rFonts w:ascii="Times" w:hAnsi="Times"/>
          <w:i/>
          <w:sz w:val="16"/>
          <w:szCs w:val="24"/>
        </w:rPr>
        <w:t>, 30</w:t>
      </w:r>
      <w:r w:rsidRPr="0022489D">
        <w:rPr>
          <w:rFonts w:ascii="Times" w:hAnsi="Times"/>
          <w:sz w:val="16"/>
          <w:szCs w:val="24"/>
        </w:rPr>
        <w:t>:6, 716-734.</w:t>
      </w:r>
    </w:p>
    <w:p w14:paraId="26FF981B" w14:textId="77777777" w:rsidR="00B43623" w:rsidRDefault="00B43623" w:rsidP="00B43623">
      <w:pPr>
        <w:spacing w:after="0"/>
        <w:rPr>
          <w:rFonts w:ascii="Times" w:hAnsi="Times"/>
          <w:sz w:val="16"/>
          <w:szCs w:val="24"/>
        </w:rPr>
      </w:pPr>
      <w:r w:rsidRPr="0022489D">
        <w:rPr>
          <w:rFonts w:ascii="Times" w:hAnsi="Times"/>
          <w:sz w:val="16"/>
          <w:szCs w:val="24"/>
        </w:rPr>
        <w:t xml:space="preserve">Kehler, A., Kertz, L., Rohde, H. &amp; Elman, J., (2008). Coherence and coreference revisited. </w:t>
      </w:r>
      <w:r w:rsidRPr="0022489D">
        <w:rPr>
          <w:rFonts w:ascii="Times" w:hAnsi="Times"/>
          <w:i/>
          <w:sz w:val="16"/>
          <w:szCs w:val="24"/>
        </w:rPr>
        <w:t>Journal of Semantics, 25</w:t>
      </w:r>
      <w:r w:rsidRPr="0022489D">
        <w:rPr>
          <w:rFonts w:ascii="Times" w:hAnsi="Times"/>
          <w:sz w:val="16"/>
          <w:szCs w:val="24"/>
        </w:rPr>
        <w:t>, 1-44.</w:t>
      </w:r>
    </w:p>
    <w:p w14:paraId="367B11BC" w14:textId="77777777" w:rsidR="00B43623" w:rsidRPr="0022489D" w:rsidRDefault="00B43623" w:rsidP="00B43623">
      <w:pPr>
        <w:spacing w:after="0"/>
        <w:rPr>
          <w:rFonts w:ascii="Times" w:hAnsi="Times"/>
          <w:sz w:val="16"/>
          <w:szCs w:val="24"/>
        </w:rPr>
      </w:pPr>
      <w:r w:rsidRPr="00EA727F">
        <w:rPr>
          <w:rFonts w:ascii="Times" w:hAnsi="Times"/>
          <w:sz w:val="16"/>
          <w:szCs w:val="24"/>
        </w:rPr>
        <w:t>Rosa, E. C., &amp; Arnold, J. E. (under review). Predictability affects production: Thematic roles affect reference form selection.  UNC Chapel Hill. </w:t>
      </w:r>
    </w:p>
    <w:p w14:paraId="2A642F8A" w14:textId="77777777" w:rsidR="00B43623" w:rsidRPr="0022489D" w:rsidRDefault="00B43623" w:rsidP="00B43623">
      <w:pPr>
        <w:spacing w:after="0"/>
        <w:rPr>
          <w:rFonts w:ascii="Times" w:hAnsi="Times"/>
          <w:sz w:val="16"/>
          <w:szCs w:val="24"/>
        </w:rPr>
      </w:pPr>
      <w:r w:rsidRPr="0022489D">
        <w:rPr>
          <w:rFonts w:ascii="Times" w:hAnsi="Times"/>
          <w:sz w:val="16"/>
          <w:szCs w:val="24"/>
        </w:rPr>
        <w:t xml:space="preserve">Stevenson, R., Crawley, R., &amp; Kleinman, D. (1994). Thematic roles, focusing and the representation of events. </w:t>
      </w:r>
      <w:r>
        <w:rPr>
          <w:rFonts w:ascii="Times" w:hAnsi="Times"/>
          <w:i/>
          <w:sz w:val="16"/>
          <w:szCs w:val="24"/>
        </w:rPr>
        <w:t xml:space="preserve">LCP, </w:t>
      </w:r>
      <w:r w:rsidRPr="0022489D">
        <w:rPr>
          <w:rFonts w:ascii="Times" w:hAnsi="Times"/>
          <w:i/>
          <w:sz w:val="16"/>
          <w:szCs w:val="24"/>
        </w:rPr>
        <w:t>9</w:t>
      </w:r>
      <w:r w:rsidRPr="0022489D">
        <w:rPr>
          <w:rFonts w:ascii="Times" w:hAnsi="Times"/>
          <w:sz w:val="16"/>
          <w:szCs w:val="24"/>
        </w:rPr>
        <w:t>, 519-548.</w:t>
      </w:r>
    </w:p>
    <w:p w14:paraId="4FDC524A" w14:textId="474BB227" w:rsidR="000749D3" w:rsidRDefault="000749D3" w:rsidP="002C38BC">
      <w:pPr>
        <w:spacing w:after="0"/>
        <w:rPr>
          <w:rFonts w:ascii="Arial" w:hAnsi="Arial" w:cs="Arial"/>
        </w:rPr>
      </w:pPr>
    </w:p>
    <w:sectPr w:rsidR="000749D3" w:rsidSect="00F73D0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95FC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F9"/>
    <w:rsid w:val="00000123"/>
    <w:rsid w:val="0000702D"/>
    <w:rsid w:val="00011691"/>
    <w:rsid w:val="00014E6C"/>
    <w:rsid w:val="00024226"/>
    <w:rsid w:val="0002556A"/>
    <w:rsid w:val="00033B09"/>
    <w:rsid w:val="0004096A"/>
    <w:rsid w:val="00041CE4"/>
    <w:rsid w:val="000430EC"/>
    <w:rsid w:val="00043362"/>
    <w:rsid w:val="0004760E"/>
    <w:rsid w:val="00057CDB"/>
    <w:rsid w:val="00063020"/>
    <w:rsid w:val="000749D3"/>
    <w:rsid w:val="000850BC"/>
    <w:rsid w:val="00086CAA"/>
    <w:rsid w:val="000967D4"/>
    <w:rsid w:val="000A1534"/>
    <w:rsid w:val="000A4B2D"/>
    <w:rsid w:val="000A5FE4"/>
    <w:rsid w:val="000B531E"/>
    <w:rsid w:val="000C31D3"/>
    <w:rsid w:val="000D6AC9"/>
    <w:rsid w:val="000E7BFA"/>
    <w:rsid w:val="000F34D3"/>
    <w:rsid w:val="00106B0D"/>
    <w:rsid w:val="001264BB"/>
    <w:rsid w:val="001329E5"/>
    <w:rsid w:val="00164E74"/>
    <w:rsid w:val="0017391B"/>
    <w:rsid w:val="00181A02"/>
    <w:rsid w:val="001858A8"/>
    <w:rsid w:val="0019041C"/>
    <w:rsid w:val="00191A76"/>
    <w:rsid w:val="001A503A"/>
    <w:rsid w:val="001B078F"/>
    <w:rsid w:val="001B1EB8"/>
    <w:rsid w:val="001C7E49"/>
    <w:rsid w:val="001E05A5"/>
    <w:rsid w:val="001F3113"/>
    <w:rsid w:val="001F32DF"/>
    <w:rsid w:val="001F3EA5"/>
    <w:rsid w:val="001F4318"/>
    <w:rsid w:val="001F4F70"/>
    <w:rsid w:val="0022489D"/>
    <w:rsid w:val="0022610B"/>
    <w:rsid w:val="00234D89"/>
    <w:rsid w:val="002444D4"/>
    <w:rsid w:val="0024505E"/>
    <w:rsid w:val="00246AE4"/>
    <w:rsid w:val="00253FD8"/>
    <w:rsid w:val="00260DFB"/>
    <w:rsid w:val="0027461F"/>
    <w:rsid w:val="00276E9B"/>
    <w:rsid w:val="00282AC3"/>
    <w:rsid w:val="002859FB"/>
    <w:rsid w:val="00295697"/>
    <w:rsid w:val="002A2ADA"/>
    <w:rsid w:val="002B5F41"/>
    <w:rsid w:val="002C38BC"/>
    <w:rsid w:val="002D0B53"/>
    <w:rsid w:val="002E2A3A"/>
    <w:rsid w:val="002E5A9C"/>
    <w:rsid w:val="002F2AF8"/>
    <w:rsid w:val="002F3D91"/>
    <w:rsid w:val="002F48F2"/>
    <w:rsid w:val="002F6C8C"/>
    <w:rsid w:val="00306135"/>
    <w:rsid w:val="00335BC7"/>
    <w:rsid w:val="00336006"/>
    <w:rsid w:val="00336556"/>
    <w:rsid w:val="0034360B"/>
    <w:rsid w:val="00350A65"/>
    <w:rsid w:val="00353908"/>
    <w:rsid w:val="003541BF"/>
    <w:rsid w:val="003635C8"/>
    <w:rsid w:val="00367030"/>
    <w:rsid w:val="00375CAD"/>
    <w:rsid w:val="00376B33"/>
    <w:rsid w:val="003857A5"/>
    <w:rsid w:val="00385BD8"/>
    <w:rsid w:val="00391766"/>
    <w:rsid w:val="0039540D"/>
    <w:rsid w:val="003A3E73"/>
    <w:rsid w:val="003B2B44"/>
    <w:rsid w:val="003C2265"/>
    <w:rsid w:val="003C5BF4"/>
    <w:rsid w:val="003C7284"/>
    <w:rsid w:val="003F1BA3"/>
    <w:rsid w:val="003F52EF"/>
    <w:rsid w:val="00410979"/>
    <w:rsid w:val="00412926"/>
    <w:rsid w:val="004151BE"/>
    <w:rsid w:val="0041703F"/>
    <w:rsid w:val="004260B2"/>
    <w:rsid w:val="0042639A"/>
    <w:rsid w:val="00445832"/>
    <w:rsid w:val="00450B4D"/>
    <w:rsid w:val="00457A10"/>
    <w:rsid w:val="004766DA"/>
    <w:rsid w:val="00476719"/>
    <w:rsid w:val="0048459E"/>
    <w:rsid w:val="0048737E"/>
    <w:rsid w:val="0049522C"/>
    <w:rsid w:val="004A3EB7"/>
    <w:rsid w:val="004A6A51"/>
    <w:rsid w:val="004B559D"/>
    <w:rsid w:val="004B7022"/>
    <w:rsid w:val="004D0D84"/>
    <w:rsid w:val="004D363F"/>
    <w:rsid w:val="004D5DCC"/>
    <w:rsid w:val="004F0D4F"/>
    <w:rsid w:val="004F3BA0"/>
    <w:rsid w:val="004F6339"/>
    <w:rsid w:val="004F68B1"/>
    <w:rsid w:val="00527776"/>
    <w:rsid w:val="0052793A"/>
    <w:rsid w:val="00533A8F"/>
    <w:rsid w:val="0054220A"/>
    <w:rsid w:val="00552726"/>
    <w:rsid w:val="005545EF"/>
    <w:rsid w:val="005605DB"/>
    <w:rsid w:val="0056286B"/>
    <w:rsid w:val="00574B1F"/>
    <w:rsid w:val="00576DBA"/>
    <w:rsid w:val="005872FD"/>
    <w:rsid w:val="005909B1"/>
    <w:rsid w:val="00591D51"/>
    <w:rsid w:val="005A34FF"/>
    <w:rsid w:val="005A3AB8"/>
    <w:rsid w:val="005A5959"/>
    <w:rsid w:val="005A5D87"/>
    <w:rsid w:val="005B34F9"/>
    <w:rsid w:val="005B5C01"/>
    <w:rsid w:val="005C428C"/>
    <w:rsid w:val="005D7F63"/>
    <w:rsid w:val="005E421A"/>
    <w:rsid w:val="005F1988"/>
    <w:rsid w:val="00603AE6"/>
    <w:rsid w:val="00613757"/>
    <w:rsid w:val="00631A86"/>
    <w:rsid w:val="00637767"/>
    <w:rsid w:val="00642700"/>
    <w:rsid w:val="006479DD"/>
    <w:rsid w:val="00652DA8"/>
    <w:rsid w:val="00657DAA"/>
    <w:rsid w:val="00671585"/>
    <w:rsid w:val="00672E5B"/>
    <w:rsid w:val="0067385D"/>
    <w:rsid w:val="0068407D"/>
    <w:rsid w:val="00696074"/>
    <w:rsid w:val="006A0EEB"/>
    <w:rsid w:val="006A5E2A"/>
    <w:rsid w:val="006C06BA"/>
    <w:rsid w:val="006C4349"/>
    <w:rsid w:val="006D23F9"/>
    <w:rsid w:val="006D4359"/>
    <w:rsid w:val="00715240"/>
    <w:rsid w:val="00724704"/>
    <w:rsid w:val="00725AA6"/>
    <w:rsid w:val="00731C01"/>
    <w:rsid w:val="00732081"/>
    <w:rsid w:val="007535BB"/>
    <w:rsid w:val="00762A09"/>
    <w:rsid w:val="007770B3"/>
    <w:rsid w:val="00790611"/>
    <w:rsid w:val="007A41FB"/>
    <w:rsid w:val="007B1105"/>
    <w:rsid w:val="007D314A"/>
    <w:rsid w:val="007D5AF3"/>
    <w:rsid w:val="007E476A"/>
    <w:rsid w:val="007F1B24"/>
    <w:rsid w:val="00800550"/>
    <w:rsid w:val="00802B4D"/>
    <w:rsid w:val="00806B0D"/>
    <w:rsid w:val="00812A08"/>
    <w:rsid w:val="00827C23"/>
    <w:rsid w:val="008304E9"/>
    <w:rsid w:val="00837254"/>
    <w:rsid w:val="008403A4"/>
    <w:rsid w:val="00851009"/>
    <w:rsid w:val="00852D15"/>
    <w:rsid w:val="00877A1B"/>
    <w:rsid w:val="00882B9B"/>
    <w:rsid w:val="00897F11"/>
    <w:rsid w:val="008B461A"/>
    <w:rsid w:val="008B5340"/>
    <w:rsid w:val="008B54B4"/>
    <w:rsid w:val="008B7CD7"/>
    <w:rsid w:val="008C090A"/>
    <w:rsid w:val="008C27E8"/>
    <w:rsid w:val="008C4C59"/>
    <w:rsid w:val="008C73C5"/>
    <w:rsid w:val="008D5FBC"/>
    <w:rsid w:val="008E3822"/>
    <w:rsid w:val="008E7637"/>
    <w:rsid w:val="008F54E5"/>
    <w:rsid w:val="0090040C"/>
    <w:rsid w:val="009030D0"/>
    <w:rsid w:val="009049AB"/>
    <w:rsid w:val="009072BA"/>
    <w:rsid w:val="00911B29"/>
    <w:rsid w:val="00913C94"/>
    <w:rsid w:val="009227CF"/>
    <w:rsid w:val="00924BA6"/>
    <w:rsid w:val="00926659"/>
    <w:rsid w:val="00927BC7"/>
    <w:rsid w:val="0093436B"/>
    <w:rsid w:val="00935DE8"/>
    <w:rsid w:val="00945D6F"/>
    <w:rsid w:val="00947874"/>
    <w:rsid w:val="009572B1"/>
    <w:rsid w:val="00967BB7"/>
    <w:rsid w:val="00970EC1"/>
    <w:rsid w:val="00995219"/>
    <w:rsid w:val="00995F1E"/>
    <w:rsid w:val="009B5FC2"/>
    <w:rsid w:val="009D1936"/>
    <w:rsid w:val="009E29BE"/>
    <w:rsid w:val="009F26DE"/>
    <w:rsid w:val="009F4467"/>
    <w:rsid w:val="009F4621"/>
    <w:rsid w:val="00A00640"/>
    <w:rsid w:val="00A049C4"/>
    <w:rsid w:val="00A071D1"/>
    <w:rsid w:val="00A22F8E"/>
    <w:rsid w:val="00A26803"/>
    <w:rsid w:val="00A40C23"/>
    <w:rsid w:val="00A45322"/>
    <w:rsid w:val="00A51E8A"/>
    <w:rsid w:val="00A522A3"/>
    <w:rsid w:val="00A61C6C"/>
    <w:rsid w:val="00A63E00"/>
    <w:rsid w:val="00A646C2"/>
    <w:rsid w:val="00A67679"/>
    <w:rsid w:val="00A70EC9"/>
    <w:rsid w:val="00A93E97"/>
    <w:rsid w:val="00AA4B98"/>
    <w:rsid w:val="00AA7A8A"/>
    <w:rsid w:val="00AB1375"/>
    <w:rsid w:val="00AB5CE5"/>
    <w:rsid w:val="00AC33FF"/>
    <w:rsid w:val="00AC51C7"/>
    <w:rsid w:val="00AC67C7"/>
    <w:rsid w:val="00AC7D97"/>
    <w:rsid w:val="00AD2D2D"/>
    <w:rsid w:val="00AD7CF2"/>
    <w:rsid w:val="00AE28D2"/>
    <w:rsid w:val="00AE7488"/>
    <w:rsid w:val="00B05EDF"/>
    <w:rsid w:val="00B11529"/>
    <w:rsid w:val="00B12AAB"/>
    <w:rsid w:val="00B41A1B"/>
    <w:rsid w:val="00B43623"/>
    <w:rsid w:val="00B469BB"/>
    <w:rsid w:val="00B5017A"/>
    <w:rsid w:val="00B50873"/>
    <w:rsid w:val="00B50B51"/>
    <w:rsid w:val="00B81654"/>
    <w:rsid w:val="00B86503"/>
    <w:rsid w:val="00B86513"/>
    <w:rsid w:val="00BA5393"/>
    <w:rsid w:val="00BA7BFF"/>
    <w:rsid w:val="00BB1D30"/>
    <w:rsid w:val="00BB5749"/>
    <w:rsid w:val="00BE5E52"/>
    <w:rsid w:val="00BF6B90"/>
    <w:rsid w:val="00C0132F"/>
    <w:rsid w:val="00C14712"/>
    <w:rsid w:val="00C243D4"/>
    <w:rsid w:val="00C310E1"/>
    <w:rsid w:val="00C350D4"/>
    <w:rsid w:val="00C37B38"/>
    <w:rsid w:val="00C52E43"/>
    <w:rsid w:val="00C63089"/>
    <w:rsid w:val="00C66060"/>
    <w:rsid w:val="00C66AED"/>
    <w:rsid w:val="00C97657"/>
    <w:rsid w:val="00CA2016"/>
    <w:rsid w:val="00CA7237"/>
    <w:rsid w:val="00CB2FBB"/>
    <w:rsid w:val="00CD145B"/>
    <w:rsid w:val="00CE754C"/>
    <w:rsid w:val="00CF30BE"/>
    <w:rsid w:val="00D142B2"/>
    <w:rsid w:val="00D2006D"/>
    <w:rsid w:val="00D317FC"/>
    <w:rsid w:val="00D3664A"/>
    <w:rsid w:val="00D43AD2"/>
    <w:rsid w:val="00D448E6"/>
    <w:rsid w:val="00D5033C"/>
    <w:rsid w:val="00D52915"/>
    <w:rsid w:val="00D60923"/>
    <w:rsid w:val="00D64373"/>
    <w:rsid w:val="00D67532"/>
    <w:rsid w:val="00D676BF"/>
    <w:rsid w:val="00D70F14"/>
    <w:rsid w:val="00D74500"/>
    <w:rsid w:val="00D745EC"/>
    <w:rsid w:val="00D7586E"/>
    <w:rsid w:val="00D96469"/>
    <w:rsid w:val="00DB6E41"/>
    <w:rsid w:val="00DC1F3D"/>
    <w:rsid w:val="00DD2E12"/>
    <w:rsid w:val="00DE1AAB"/>
    <w:rsid w:val="00DF41BE"/>
    <w:rsid w:val="00DF7402"/>
    <w:rsid w:val="00E00181"/>
    <w:rsid w:val="00E16051"/>
    <w:rsid w:val="00E168FA"/>
    <w:rsid w:val="00E23BC9"/>
    <w:rsid w:val="00E263A4"/>
    <w:rsid w:val="00E34A48"/>
    <w:rsid w:val="00E356F2"/>
    <w:rsid w:val="00E404E3"/>
    <w:rsid w:val="00E423F9"/>
    <w:rsid w:val="00E44170"/>
    <w:rsid w:val="00E47F75"/>
    <w:rsid w:val="00E5466B"/>
    <w:rsid w:val="00E5608A"/>
    <w:rsid w:val="00E6170C"/>
    <w:rsid w:val="00E64EA8"/>
    <w:rsid w:val="00E71BAD"/>
    <w:rsid w:val="00E84CFB"/>
    <w:rsid w:val="00E9649E"/>
    <w:rsid w:val="00EA07A8"/>
    <w:rsid w:val="00EA441C"/>
    <w:rsid w:val="00EA727F"/>
    <w:rsid w:val="00EA75AF"/>
    <w:rsid w:val="00EB5804"/>
    <w:rsid w:val="00EB6A53"/>
    <w:rsid w:val="00EC63C9"/>
    <w:rsid w:val="00ED45FC"/>
    <w:rsid w:val="00ED522B"/>
    <w:rsid w:val="00EF1DC4"/>
    <w:rsid w:val="00F1646D"/>
    <w:rsid w:val="00F17A9D"/>
    <w:rsid w:val="00F20D7E"/>
    <w:rsid w:val="00F20F60"/>
    <w:rsid w:val="00F22965"/>
    <w:rsid w:val="00F23C7D"/>
    <w:rsid w:val="00F259CC"/>
    <w:rsid w:val="00F40577"/>
    <w:rsid w:val="00F526C5"/>
    <w:rsid w:val="00F56F1C"/>
    <w:rsid w:val="00F73D0B"/>
    <w:rsid w:val="00F82694"/>
    <w:rsid w:val="00F9081F"/>
    <w:rsid w:val="00FA1C97"/>
    <w:rsid w:val="00FB469A"/>
    <w:rsid w:val="00FB475C"/>
    <w:rsid w:val="00FB5BDE"/>
    <w:rsid w:val="00FC5237"/>
    <w:rsid w:val="00FD6F36"/>
    <w:rsid w:val="00FE016C"/>
    <w:rsid w:val="00FE0483"/>
    <w:rsid w:val="00FE2236"/>
    <w:rsid w:val="00FE5073"/>
    <w:rsid w:val="00FE7651"/>
    <w:rsid w:val="00FF1906"/>
    <w:rsid w:val="00FF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86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2A08"/>
    <w:rPr>
      <w:sz w:val="16"/>
      <w:szCs w:val="16"/>
    </w:rPr>
  </w:style>
  <w:style w:type="paragraph" w:styleId="CommentText">
    <w:name w:val="annotation text"/>
    <w:basedOn w:val="Normal"/>
    <w:link w:val="CommentTextChar"/>
    <w:uiPriority w:val="99"/>
    <w:semiHidden/>
    <w:unhideWhenUsed/>
    <w:rsid w:val="00812A08"/>
    <w:pPr>
      <w:spacing w:line="240" w:lineRule="auto"/>
    </w:pPr>
    <w:rPr>
      <w:sz w:val="20"/>
      <w:szCs w:val="20"/>
    </w:rPr>
  </w:style>
  <w:style w:type="character" w:customStyle="1" w:styleId="CommentTextChar">
    <w:name w:val="Comment Text Char"/>
    <w:basedOn w:val="DefaultParagraphFont"/>
    <w:link w:val="CommentText"/>
    <w:uiPriority w:val="99"/>
    <w:semiHidden/>
    <w:rsid w:val="00812A08"/>
    <w:rPr>
      <w:sz w:val="20"/>
      <w:szCs w:val="20"/>
    </w:rPr>
  </w:style>
  <w:style w:type="paragraph" w:styleId="CommentSubject">
    <w:name w:val="annotation subject"/>
    <w:basedOn w:val="CommentText"/>
    <w:next w:val="CommentText"/>
    <w:link w:val="CommentSubjectChar"/>
    <w:uiPriority w:val="99"/>
    <w:semiHidden/>
    <w:unhideWhenUsed/>
    <w:rsid w:val="00812A08"/>
    <w:rPr>
      <w:b/>
      <w:bCs/>
    </w:rPr>
  </w:style>
  <w:style w:type="character" w:customStyle="1" w:styleId="CommentSubjectChar">
    <w:name w:val="Comment Subject Char"/>
    <w:basedOn w:val="CommentTextChar"/>
    <w:link w:val="CommentSubject"/>
    <w:uiPriority w:val="99"/>
    <w:semiHidden/>
    <w:rsid w:val="00812A08"/>
    <w:rPr>
      <w:b/>
      <w:bCs/>
      <w:sz w:val="20"/>
      <w:szCs w:val="20"/>
    </w:rPr>
  </w:style>
  <w:style w:type="paragraph" w:styleId="BalloonText">
    <w:name w:val="Balloon Text"/>
    <w:basedOn w:val="Normal"/>
    <w:link w:val="BalloonTextChar"/>
    <w:uiPriority w:val="99"/>
    <w:semiHidden/>
    <w:unhideWhenUsed/>
    <w:rsid w:val="00812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A08"/>
    <w:rPr>
      <w:rFonts w:ascii="Segoe UI" w:hAnsi="Segoe UI" w:cs="Segoe UI"/>
      <w:sz w:val="18"/>
      <w:szCs w:val="18"/>
    </w:rPr>
  </w:style>
  <w:style w:type="paragraph" w:styleId="ListParagraph">
    <w:name w:val="List Paragraph"/>
    <w:basedOn w:val="Normal"/>
    <w:uiPriority w:val="34"/>
    <w:qFormat/>
    <w:rsid w:val="00E34A48"/>
    <w:pPr>
      <w:ind w:left="720"/>
      <w:contextualSpacing/>
    </w:pPr>
  </w:style>
  <w:style w:type="table" w:styleId="TableGrid">
    <w:name w:val="Table Grid"/>
    <w:basedOn w:val="TableNormal"/>
    <w:uiPriority w:val="39"/>
    <w:rsid w:val="00B05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2A08"/>
    <w:rPr>
      <w:sz w:val="16"/>
      <w:szCs w:val="16"/>
    </w:rPr>
  </w:style>
  <w:style w:type="paragraph" w:styleId="CommentText">
    <w:name w:val="annotation text"/>
    <w:basedOn w:val="Normal"/>
    <w:link w:val="CommentTextChar"/>
    <w:uiPriority w:val="99"/>
    <w:semiHidden/>
    <w:unhideWhenUsed/>
    <w:rsid w:val="00812A08"/>
    <w:pPr>
      <w:spacing w:line="240" w:lineRule="auto"/>
    </w:pPr>
    <w:rPr>
      <w:sz w:val="20"/>
      <w:szCs w:val="20"/>
    </w:rPr>
  </w:style>
  <w:style w:type="character" w:customStyle="1" w:styleId="CommentTextChar">
    <w:name w:val="Comment Text Char"/>
    <w:basedOn w:val="DefaultParagraphFont"/>
    <w:link w:val="CommentText"/>
    <w:uiPriority w:val="99"/>
    <w:semiHidden/>
    <w:rsid w:val="00812A08"/>
    <w:rPr>
      <w:sz w:val="20"/>
      <w:szCs w:val="20"/>
    </w:rPr>
  </w:style>
  <w:style w:type="paragraph" w:styleId="CommentSubject">
    <w:name w:val="annotation subject"/>
    <w:basedOn w:val="CommentText"/>
    <w:next w:val="CommentText"/>
    <w:link w:val="CommentSubjectChar"/>
    <w:uiPriority w:val="99"/>
    <w:semiHidden/>
    <w:unhideWhenUsed/>
    <w:rsid w:val="00812A08"/>
    <w:rPr>
      <w:b/>
      <w:bCs/>
    </w:rPr>
  </w:style>
  <w:style w:type="character" w:customStyle="1" w:styleId="CommentSubjectChar">
    <w:name w:val="Comment Subject Char"/>
    <w:basedOn w:val="CommentTextChar"/>
    <w:link w:val="CommentSubject"/>
    <w:uiPriority w:val="99"/>
    <w:semiHidden/>
    <w:rsid w:val="00812A08"/>
    <w:rPr>
      <w:b/>
      <w:bCs/>
      <w:sz w:val="20"/>
      <w:szCs w:val="20"/>
    </w:rPr>
  </w:style>
  <w:style w:type="paragraph" w:styleId="BalloonText">
    <w:name w:val="Balloon Text"/>
    <w:basedOn w:val="Normal"/>
    <w:link w:val="BalloonTextChar"/>
    <w:uiPriority w:val="99"/>
    <w:semiHidden/>
    <w:unhideWhenUsed/>
    <w:rsid w:val="00812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A08"/>
    <w:rPr>
      <w:rFonts w:ascii="Segoe UI" w:hAnsi="Segoe UI" w:cs="Segoe UI"/>
      <w:sz w:val="18"/>
      <w:szCs w:val="18"/>
    </w:rPr>
  </w:style>
  <w:style w:type="paragraph" w:styleId="ListParagraph">
    <w:name w:val="List Paragraph"/>
    <w:basedOn w:val="Normal"/>
    <w:uiPriority w:val="34"/>
    <w:qFormat/>
    <w:rsid w:val="00E34A48"/>
    <w:pPr>
      <w:ind w:left="720"/>
      <w:contextualSpacing/>
    </w:pPr>
  </w:style>
  <w:style w:type="table" w:styleId="TableGrid">
    <w:name w:val="Table Grid"/>
    <w:basedOn w:val="TableNormal"/>
    <w:uiPriority w:val="39"/>
    <w:rsid w:val="00B05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F1DB7-CDF7-2049-BA40-09E7DE34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458</Words>
  <Characters>2615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Jennifer Arnold</cp:lastModifiedBy>
  <cp:revision>28</cp:revision>
  <dcterms:created xsi:type="dcterms:W3CDTF">2016-02-08T20:16:00Z</dcterms:created>
  <dcterms:modified xsi:type="dcterms:W3CDTF">2016-03-14T18:37:00Z</dcterms:modified>
</cp:coreProperties>
</file>