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4611" w14:textId="77777777" w:rsidR="002561CF" w:rsidRPr="002561CF" w:rsidRDefault="002561CF" w:rsidP="002561CF">
      <w:pPr>
        <w:pStyle w:val="Authornames"/>
        <w:rPr>
          <w:b/>
          <w:lang w:val="en-US"/>
        </w:rPr>
      </w:pPr>
      <w:r w:rsidRPr="002561CF">
        <w:rPr>
          <w:b/>
          <w:lang w:val="en-US"/>
        </w:rPr>
        <w:t>The Effects of Semantic Role Predictability on the Production of Overt Pronouns in Spanish</w:t>
      </w:r>
    </w:p>
    <w:p w14:paraId="4FA669FC" w14:textId="77777777" w:rsidR="00EC4234" w:rsidRDefault="00EC4234" w:rsidP="00EC4234">
      <w:pPr>
        <w:pStyle w:val="Authornames"/>
      </w:pPr>
      <w:r w:rsidRPr="002561CF">
        <w:rPr>
          <w:lang w:val="en-US"/>
        </w:rPr>
        <w:t>Ana Medina Fetterman</w:t>
      </w:r>
      <w:r w:rsidRPr="005A033B">
        <w:rPr>
          <w:vertAlign w:val="superscript"/>
        </w:rPr>
        <w:t xml:space="preserve"> </w:t>
      </w:r>
      <w:r>
        <w:rPr>
          <w:vertAlign w:val="superscript"/>
        </w:rPr>
        <w:t>a</w:t>
      </w:r>
      <w:r>
        <w:t>*</w:t>
      </w:r>
      <w:r w:rsidRPr="002561CF">
        <w:rPr>
          <w:lang w:val="en-US"/>
        </w:rPr>
        <w:t>,</w:t>
      </w:r>
      <w:r>
        <w:rPr>
          <w:lang w:val="en-US"/>
        </w:rPr>
        <w:t xml:space="preserve"> Natasha Vazquez</w:t>
      </w:r>
      <w:r>
        <w:rPr>
          <w:vertAlign w:val="superscript"/>
        </w:rPr>
        <w:t>b</w:t>
      </w:r>
      <w:r>
        <w:rPr>
          <w:lang w:val="en-US"/>
        </w:rPr>
        <w:t>, Jennifer E. Arnold</w:t>
      </w:r>
      <w:r>
        <w:rPr>
          <w:vertAlign w:val="superscript"/>
        </w:rPr>
        <w:t>c</w:t>
      </w:r>
    </w:p>
    <w:p w14:paraId="3E3CBC04" w14:textId="77777777" w:rsidR="00EC4234" w:rsidRDefault="00EC4234" w:rsidP="00EC4234">
      <w:pPr>
        <w:pStyle w:val="Affiliation"/>
      </w:pPr>
      <w:r>
        <w:rPr>
          <w:vertAlign w:val="superscript"/>
        </w:rPr>
        <w:t>a</w:t>
      </w:r>
      <w:r>
        <w:t>Department of Psychology and Neuroscience, UNC Chapel Hill, Chapel Hill, USA &amp; Department of Psychology, OSU Main Campus, Columbus, USA;</w:t>
      </w:r>
      <w:r w:rsidRPr="005A033B">
        <w:rPr>
          <w:vertAlign w:val="superscript"/>
        </w:rPr>
        <w:t xml:space="preserve"> </w:t>
      </w:r>
      <w:r>
        <w:rPr>
          <w:vertAlign w:val="superscript"/>
        </w:rPr>
        <w:t>bc</w:t>
      </w:r>
      <w:r>
        <w:t>Department of Psychology and Neuroscience, UNC Chapel Hill, Chapel Hill, USA</w:t>
      </w:r>
    </w:p>
    <w:p w14:paraId="3B05CCA1" w14:textId="77777777" w:rsidR="00EC4234" w:rsidRDefault="00EC4234" w:rsidP="00EC4234">
      <w:pPr>
        <w:pStyle w:val="Notesoncontributors"/>
        <w:rPr>
          <w:rStyle w:val="Hyperlink"/>
          <w:rFonts w:ascii="Times" w:hAnsi="Times" w:cs="Times"/>
        </w:rPr>
      </w:pPr>
      <w:r w:rsidRPr="2EBC3AA5">
        <w:rPr>
          <w:rFonts w:ascii="Times" w:hAnsi="Times" w:cs="Times"/>
        </w:rPr>
        <w:t xml:space="preserve">Address all correspondence to: </w:t>
      </w:r>
      <w:r>
        <w:rPr>
          <w:rFonts w:ascii="Times" w:hAnsi="Times" w:cs="Times"/>
        </w:rPr>
        <w:t>Jennifer Arnold, Dept of Psychology and Neuroscience, Davie Hall #337B, UNC Chapel Hill, Chapel Hill, NC, 27599-3270</w:t>
      </w:r>
    </w:p>
    <w:p w14:paraId="23BC9FC7" w14:textId="77777777" w:rsidR="005A033B" w:rsidRDefault="005A033B" w:rsidP="00F1606C">
      <w:pPr>
        <w:pStyle w:val="Authornames"/>
      </w:pPr>
    </w:p>
    <w:p w14:paraId="3C6A426F" w14:textId="6FE8CB38" w:rsidR="00C246C5" w:rsidRPr="00F1606C" w:rsidRDefault="00C14585" w:rsidP="00F1606C">
      <w:pPr>
        <w:pStyle w:val="Authornames"/>
        <w:rPr>
          <w:b/>
          <w:lang w:val="en-US"/>
        </w:rPr>
      </w:pPr>
      <w:r>
        <w:br w:type="page"/>
      </w:r>
      <w:r w:rsidR="00F1606C" w:rsidRPr="002561CF">
        <w:rPr>
          <w:b/>
          <w:lang w:val="en-US"/>
        </w:rPr>
        <w:lastRenderedPageBreak/>
        <w:t>The Effects of Semantic Role Predictability on the Production of Overt Pronouns in Spanish</w:t>
      </w:r>
    </w:p>
    <w:p w14:paraId="32D81ACB" w14:textId="6B172A34" w:rsidR="00312BB8" w:rsidRDefault="00312BB8" w:rsidP="0088023C">
      <w:pPr>
        <w:pStyle w:val="Keywords"/>
        <w:rPr>
          <w:lang w:val="en-US"/>
        </w:rPr>
      </w:pPr>
      <w:r>
        <w:rPr>
          <w:lang w:val="en-US"/>
        </w:rPr>
        <w:t>In order to refer in any language,</w:t>
      </w:r>
      <w:r w:rsidRPr="00F1606C">
        <w:rPr>
          <w:lang w:val="en-US"/>
        </w:rPr>
        <w:t xml:space="preserve"> speakers must choose between explicit</w:t>
      </w:r>
      <w:r>
        <w:rPr>
          <w:lang w:val="en-US"/>
        </w:rPr>
        <w:t xml:space="preserve"> forms of expression, such as names </w:t>
      </w:r>
      <w:r w:rsidRPr="00F1606C">
        <w:rPr>
          <w:lang w:val="en-US"/>
        </w:rPr>
        <w:t>or description</w:t>
      </w:r>
      <w:r>
        <w:rPr>
          <w:lang w:val="en-US"/>
        </w:rPr>
        <w:t>s</w:t>
      </w:r>
      <w:r w:rsidRPr="00F1606C">
        <w:rPr>
          <w:lang w:val="en-US"/>
        </w:rPr>
        <w:t xml:space="preserve">, or more </w:t>
      </w:r>
      <w:r>
        <w:rPr>
          <w:lang w:val="en-US"/>
        </w:rPr>
        <w:t>ambiguous</w:t>
      </w:r>
      <w:r w:rsidRPr="00F1606C">
        <w:rPr>
          <w:lang w:val="en-US"/>
        </w:rPr>
        <w:t xml:space="preserve"> forms like pronouns. </w:t>
      </w:r>
      <w:r>
        <w:rPr>
          <w:lang w:val="en-US"/>
        </w:rPr>
        <w:t xml:space="preserve">Current models suggest that reference form is driven by </w:t>
      </w:r>
      <w:r w:rsidR="00A3555C">
        <w:rPr>
          <w:lang w:val="en-US"/>
        </w:rPr>
        <w:t>subjecthood</w:t>
      </w:r>
      <w:r>
        <w:rPr>
          <w:lang w:val="en-US"/>
        </w:rPr>
        <w:t xml:space="preserve">, where speakers in English choose pronouns for the </w:t>
      </w:r>
      <w:r w:rsidR="00A3555C">
        <w:rPr>
          <w:lang w:val="en-US"/>
        </w:rPr>
        <w:t>subject</w:t>
      </w:r>
      <w:r>
        <w:rPr>
          <w:lang w:val="en-US"/>
        </w:rPr>
        <w:t xml:space="preserve">, and speakers of null pronoun languages like Spanish or Italian use null pronouns. We test this generalization by examining the effect of a different factor, thematic role predictability, on reference production in Spanish. </w:t>
      </w:r>
      <w:r w:rsidR="0088023C">
        <w:rPr>
          <w:lang w:val="en-US"/>
        </w:rPr>
        <w:t xml:space="preserve">In stories about transfer events (e.g., </w:t>
      </w:r>
      <w:r w:rsidR="0088023C">
        <w:rPr>
          <w:i/>
          <w:iCs/>
          <w:lang w:val="en-US"/>
        </w:rPr>
        <w:t>Ana gave a ball to Liz)</w:t>
      </w:r>
      <w:r w:rsidR="0088023C">
        <w:rPr>
          <w:lang w:val="en-US"/>
        </w:rPr>
        <w:t xml:space="preserve">, speakers prefer to use pronouns more for reference to goals (Liz) than sources (Ana; </w:t>
      </w:r>
      <w:r>
        <w:rPr>
          <w:lang w:val="en-US"/>
        </w:rPr>
        <w:t>(Rosa &amp; Arnold, 2017)</w:t>
      </w:r>
      <w:r w:rsidR="0088023C">
        <w:rPr>
          <w:lang w:val="en-US"/>
        </w:rPr>
        <w:t xml:space="preserve">. </w:t>
      </w:r>
      <w:r>
        <w:rPr>
          <w:lang w:val="en-US"/>
        </w:rPr>
        <w:t>However, this has not been examined for null pronoun languages. In two experiments, we demonstrate that Spanish speakers are</w:t>
      </w:r>
      <w:r w:rsidRPr="005A62C9">
        <w:rPr>
          <w:b/>
          <w:bCs/>
          <w:lang w:val="en-US"/>
        </w:rPr>
        <w:t xml:space="preserve"> </w:t>
      </w:r>
      <w:r w:rsidR="0088023C">
        <w:rPr>
          <w:lang w:val="en-US"/>
        </w:rPr>
        <w:t xml:space="preserve">also </w:t>
      </w:r>
      <w:r>
        <w:rPr>
          <w:lang w:val="en-US"/>
        </w:rPr>
        <w:t xml:space="preserve">sensitive to thematic role, but </w:t>
      </w:r>
      <w:r w:rsidR="0088023C">
        <w:rPr>
          <w:lang w:val="en-US"/>
        </w:rPr>
        <w:t xml:space="preserve">it primarily affects the rate of </w:t>
      </w:r>
      <w:r>
        <w:rPr>
          <w:lang w:val="en-US"/>
        </w:rPr>
        <w:t>overt pronouns</w:t>
      </w:r>
      <w:r w:rsidR="0088023C">
        <w:rPr>
          <w:lang w:val="en-US"/>
        </w:rPr>
        <w:t xml:space="preserve"> (ella, el) rather than null pronouns</w:t>
      </w:r>
      <w:r>
        <w:rPr>
          <w:lang w:val="en-US"/>
        </w:rPr>
        <w:t xml:space="preserve">. These results </w:t>
      </w:r>
      <w:r w:rsidR="00707CD2">
        <w:rPr>
          <w:lang w:val="en-US"/>
        </w:rPr>
        <w:t>highlight the need to include semantic constraints in models of reference production for null-pronoun languages.</w:t>
      </w:r>
    </w:p>
    <w:p w14:paraId="4F114F4A" w14:textId="470FD92F" w:rsidR="005A62C9" w:rsidRPr="005A62C9" w:rsidRDefault="005A62C9" w:rsidP="005A62C9">
      <w:pPr>
        <w:pStyle w:val="Paragraph"/>
        <w:rPr>
          <w:lang w:val="en-US"/>
        </w:rPr>
      </w:pPr>
    </w:p>
    <w:p w14:paraId="4E55A721" w14:textId="77777777" w:rsidR="005A19D2" w:rsidRDefault="005A19D2">
      <w:pPr>
        <w:spacing w:line="240" w:lineRule="auto"/>
        <w:rPr>
          <w:rFonts w:cs="Arial"/>
          <w:b/>
          <w:bCs/>
          <w:kern w:val="32"/>
          <w:szCs w:val="32"/>
        </w:rPr>
      </w:pPr>
      <w:r>
        <w:br w:type="page"/>
      </w:r>
    </w:p>
    <w:p w14:paraId="0475F0DB" w14:textId="0CB98851" w:rsidR="008615B4" w:rsidRDefault="008615B4" w:rsidP="008615B4">
      <w:pPr>
        <w:pStyle w:val="Heading1"/>
      </w:pPr>
      <w:r w:rsidRPr="2EBC3AA5">
        <w:lastRenderedPageBreak/>
        <w:t>Introduction</w:t>
      </w:r>
    </w:p>
    <w:p w14:paraId="3BA5C705" w14:textId="18530194" w:rsidR="008615B4" w:rsidRDefault="008615B4" w:rsidP="008615B4">
      <w:pPr>
        <w:ind w:firstLine="720"/>
      </w:pPr>
      <w:r>
        <w:t>Every time speakers refer, they have to decide how explicit to be, for example using a name (</w:t>
      </w:r>
      <w:r w:rsidRPr="2EBC3AA5">
        <w:rPr>
          <w:i/>
          <w:iCs/>
        </w:rPr>
        <w:t>Spot</w:t>
      </w:r>
      <w:r>
        <w:t>) or a description (</w:t>
      </w:r>
      <w:r w:rsidRPr="2EBC3AA5">
        <w:rPr>
          <w:i/>
          <w:iCs/>
        </w:rPr>
        <w:t>the dog</w:t>
      </w:r>
      <w:r>
        <w:t>), or an underspecified expression like a pronoun (</w:t>
      </w:r>
      <w:r w:rsidRPr="2EBC3AA5">
        <w:rPr>
          <w:i/>
          <w:iCs/>
        </w:rPr>
        <w:t>he</w:t>
      </w:r>
      <w:r>
        <w:t>).  While all languages offer a wide range of choices, languages vary in the specific forms available. In English, it is common to use a name or description when first mentioning someone (</w:t>
      </w:r>
      <w:r w:rsidR="00CA6488">
        <w:rPr>
          <w:i/>
          <w:iCs/>
        </w:rPr>
        <w:t>Pamela</w:t>
      </w:r>
      <w:r w:rsidRPr="2EBC3AA5">
        <w:rPr>
          <w:i/>
          <w:iCs/>
        </w:rPr>
        <w:t xml:space="preserve"> washed her dog</w:t>
      </w:r>
      <w:r>
        <w:t>), and use a pronoun for later reference (</w:t>
      </w:r>
      <w:r w:rsidRPr="2EBC3AA5">
        <w:rPr>
          <w:i/>
          <w:iCs/>
          <w:lang w:val="es-ES"/>
        </w:rPr>
        <w:t>Then she went to work</w:t>
      </w:r>
      <w:r w:rsidRPr="2EBC3AA5">
        <w:rPr>
          <w:lang w:val="es-ES"/>
        </w:rPr>
        <w:t xml:space="preserve">). </w:t>
      </w:r>
      <w:r>
        <w:t xml:space="preserve">By contrast, in </w:t>
      </w:r>
      <w:r w:rsidR="006F0F91">
        <w:t>null subject</w:t>
      </w:r>
      <w:r>
        <w:t xml:space="preserve"> languages, such as Spanish or Italian, speakers tend to use null expressions in contexts where English speakers would use pronouns (</w:t>
      </w:r>
      <w:r w:rsidR="00DC3387">
        <w:rPr>
          <w:i/>
          <w:iCs/>
        </w:rPr>
        <w:t>Pamela</w:t>
      </w:r>
      <w:r w:rsidR="00DC3387" w:rsidRPr="2EBC3AA5">
        <w:rPr>
          <w:i/>
          <w:iCs/>
        </w:rPr>
        <w:t xml:space="preserve"> lav</w:t>
      </w:r>
      <w:r w:rsidR="00DC3387" w:rsidRPr="00F02E63">
        <w:rPr>
          <w:i/>
          <w:iCs/>
        </w:rPr>
        <w:t xml:space="preserve">ó </w:t>
      </w:r>
      <w:r w:rsidR="00DC3387" w:rsidRPr="2EBC3AA5">
        <w:rPr>
          <w:i/>
          <w:iCs/>
        </w:rPr>
        <w:t>su perro</w:t>
      </w:r>
      <w:r w:rsidR="00DC3387">
        <w:t xml:space="preserve">. </w:t>
      </w:r>
      <w:r w:rsidR="00DC3387" w:rsidRPr="2EBC3AA5">
        <w:rPr>
          <w:i/>
          <w:iCs/>
        </w:rPr>
        <w:t>Despu</w:t>
      </w:r>
      <w:r w:rsidR="00DC3387">
        <w:rPr>
          <w:i/>
          <w:iCs/>
        </w:rPr>
        <w:t>é</w:t>
      </w:r>
      <w:r w:rsidR="00DC3387" w:rsidRPr="2EBC3AA5">
        <w:rPr>
          <w:i/>
          <w:iCs/>
        </w:rPr>
        <w:t xml:space="preserve">s </w:t>
      </w:r>
      <w:r w:rsidR="00F02E63">
        <w:rPr>
          <w:i/>
          <w:iCs/>
        </w:rPr>
        <w:t xml:space="preserve">Ø </w:t>
      </w:r>
      <w:r w:rsidR="00DC3387" w:rsidRPr="2EBC3AA5">
        <w:rPr>
          <w:i/>
          <w:iCs/>
        </w:rPr>
        <w:t>fue a trabajar</w:t>
      </w:r>
      <w:r w:rsidR="008707A1">
        <w:rPr>
          <w:i/>
          <w:iCs/>
        </w:rPr>
        <w:t xml:space="preserve"> / Pamela washed her dog. After</w:t>
      </w:r>
      <w:r w:rsidR="008707A1">
        <w:rPr>
          <w:rStyle w:val="PageNumber"/>
        </w:rPr>
        <w:t xml:space="preserve"> Ø went to work</w:t>
      </w:r>
      <w:r>
        <w:t xml:space="preserve">), although they can also use overt pronouns </w:t>
      </w:r>
      <w:r w:rsidR="00F02E63">
        <w:t>like “ella” (she) (</w:t>
      </w:r>
      <w:r>
        <w:t>….</w:t>
      </w:r>
      <w:r w:rsidR="00831409">
        <w:t xml:space="preserve"> </w:t>
      </w:r>
      <w:r w:rsidR="00DC3387" w:rsidRPr="2EBC3AA5">
        <w:rPr>
          <w:i/>
          <w:iCs/>
        </w:rPr>
        <w:t>Despu</w:t>
      </w:r>
      <w:r w:rsidR="00DC3387">
        <w:rPr>
          <w:i/>
          <w:iCs/>
        </w:rPr>
        <w:t xml:space="preserve">és </w:t>
      </w:r>
      <w:r w:rsidRPr="2EBC3AA5">
        <w:rPr>
          <w:i/>
          <w:iCs/>
        </w:rPr>
        <w:t>ella fue a trabajar</w:t>
      </w:r>
      <w:r>
        <w:t>)</w:t>
      </w:r>
      <w:r w:rsidR="007B4EC7">
        <w:t>.</w:t>
      </w:r>
      <w:r>
        <w:t xml:space="preserve"> Our </w:t>
      </w:r>
      <w:r w:rsidR="00F46E7D">
        <w:t>study</w:t>
      </w:r>
      <w:r>
        <w:t xml:space="preserve"> investigates how speakers choose referential expressions in Spanish. In particular, we examine the effect of semantic role, which has not figured prominently in models of reference processing for </w:t>
      </w:r>
      <w:r w:rsidR="006F0F91">
        <w:t>null subject</w:t>
      </w:r>
      <w:r>
        <w:t xml:space="preserve"> languages.</w:t>
      </w:r>
    </w:p>
    <w:p w14:paraId="61D0CCE7" w14:textId="4D2BD551" w:rsidR="008615B4" w:rsidRPr="003F2277" w:rsidRDefault="008615B4" w:rsidP="008615B4">
      <w:pPr>
        <w:ind w:firstLine="720"/>
      </w:pPr>
      <w:r>
        <w:t xml:space="preserve">The participants in events can be described in terms of their semantic, or thematic role, such as agent, patient, goal, source, and other roles. </w:t>
      </w:r>
      <w:r w:rsidRPr="2EBC3AA5">
        <w:rPr>
          <w:rFonts w:ascii="Times" w:hAnsi="Times" w:cs="Times"/>
          <w:color w:val="000000" w:themeColor="text1"/>
        </w:rPr>
        <w:t xml:space="preserve"> </w:t>
      </w:r>
      <w:r>
        <w:t xml:space="preserve">For example, in the transfer event in (1), Lady Mannerly is the source of the transfer, while Sir Barnes is the goal. </w:t>
      </w:r>
      <w:r w:rsidRPr="2EBC3AA5">
        <w:rPr>
          <w:rFonts w:ascii="Times" w:hAnsi="Times" w:cs="Times"/>
          <w:color w:val="000000" w:themeColor="text1"/>
        </w:rPr>
        <w:t xml:space="preserve">Stevenson, Crawley, and Kleinman (1994) found that the structure of recent events creates </w:t>
      </w:r>
      <w:r w:rsidR="009F3FCF">
        <w:rPr>
          <w:rFonts w:ascii="Times" w:hAnsi="Times" w:cs="Times"/>
          <w:color w:val="000000" w:themeColor="text1"/>
        </w:rPr>
        <w:t>expectations</w:t>
      </w:r>
      <w:r w:rsidRPr="2EBC3AA5">
        <w:rPr>
          <w:rFonts w:ascii="Times" w:hAnsi="Times" w:cs="Times"/>
          <w:color w:val="000000" w:themeColor="text1"/>
        </w:rPr>
        <w:t xml:space="preserve"> about who</w:t>
      </w:r>
      <w:r w:rsidR="00432EB5">
        <w:rPr>
          <w:rFonts w:ascii="Times" w:hAnsi="Times" w:cs="Times"/>
          <w:color w:val="000000" w:themeColor="text1"/>
        </w:rPr>
        <w:t xml:space="preserve"> might </w:t>
      </w:r>
      <w:r w:rsidR="005B7FDE">
        <w:rPr>
          <w:rFonts w:ascii="Times" w:hAnsi="Times" w:cs="Times"/>
          <w:color w:val="000000" w:themeColor="text1"/>
        </w:rPr>
        <w:t>be</w:t>
      </w:r>
      <w:r w:rsidRPr="2EBC3AA5">
        <w:rPr>
          <w:rFonts w:ascii="Times" w:hAnsi="Times" w:cs="Times"/>
          <w:color w:val="000000" w:themeColor="text1"/>
        </w:rPr>
        <w:t xml:space="preserve"> mentioned next, where characters in certain thematic roles are more likely to be mentioned than others. For example</w:t>
      </w:r>
      <w:r w:rsidR="00101ECC">
        <w:rPr>
          <w:rFonts w:ascii="Times" w:hAnsi="Times" w:cs="Times"/>
          <w:color w:val="000000" w:themeColor="text1"/>
        </w:rPr>
        <w:t>,</w:t>
      </w:r>
      <w:r w:rsidRPr="2EBC3AA5">
        <w:rPr>
          <w:rFonts w:ascii="Times" w:hAnsi="Times" w:cs="Times"/>
          <w:color w:val="000000" w:themeColor="text1"/>
        </w:rPr>
        <w:t xml:space="preserve"> following transfer verbs (as in example 1), people are more likely to continue talking about the goal (Sir Barnes in 1a; Lady Mannerly in 1b). </w:t>
      </w:r>
    </w:p>
    <w:p w14:paraId="22519BB4" w14:textId="77777777" w:rsidR="008615B4" w:rsidRDefault="008615B4" w:rsidP="008615B4">
      <w:pPr>
        <w:pStyle w:val="examples"/>
        <w:ind w:left="720"/>
      </w:pPr>
      <w:r>
        <w:t>(1a.) Lady Mannerly gave the painting of the two of them to Sir Barnes.</w:t>
      </w:r>
    </w:p>
    <w:p w14:paraId="2FCEFD71" w14:textId="77777777" w:rsidR="008615B4" w:rsidRDefault="008615B4" w:rsidP="008615B4">
      <w:pPr>
        <w:pStyle w:val="examples"/>
        <w:ind w:left="720"/>
      </w:pPr>
      <w:r>
        <w:t>(1b). Lady Mannerly borrowed a picnic basket from the chef.</w:t>
      </w:r>
    </w:p>
    <w:p w14:paraId="32DDA29B" w14:textId="0763F1C4" w:rsidR="008615B4" w:rsidRDefault="008615B4" w:rsidP="008615B4">
      <w:pPr>
        <w:ind w:firstLine="720"/>
      </w:pPr>
      <w:r w:rsidRPr="2EBC3AA5">
        <w:rPr>
          <w:rFonts w:ascii="Times" w:hAnsi="Times" w:cs="Times"/>
          <w:color w:val="000000" w:themeColor="text1"/>
        </w:rPr>
        <w:t xml:space="preserve">In addition, some thematic roles – particularly those associated with transfer verbs – influence speakers’ decisions about how to refer, where pronouns are also used more for </w:t>
      </w:r>
      <w:r w:rsidRPr="2EBC3AA5">
        <w:rPr>
          <w:rFonts w:ascii="Times" w:hAnsi="Times" w:cs="Times"/>
          <w:color w:val="000000" w:themeColor="text1"/>
        </w:rPr>
        <w:lastRenderedPageBreak/>
        <w:t>goals than sources (Arnold, 2001</w:t>
      </w:r>
      <w:r w:rsidR="00477BC7">
        <w:rPr>
          <w:rFonts w:ascii="Times" w:hAnsi="Times" w:cs="Times"/>
          <w:color w:val="000000" w:themeColor="text1"/>
        </w:rPr>
        <w:t xml:space="preserve">; </w:t>
      </w:r>
      <w:r w:rsidR="00477BC7">
        <w:t>Rosa &amp; Arnold, 2017</w:t>
      </w:r>
      <w:r w:rsidR="00A3555C">
        <w:t xml:space="preserve">; Zerkle &amp; Arnold, </w:t>
      </w:r>
      <w:r w:rsidR="00AC1240">
        <w:t>2019</w:t>
      </w:r>
      <w:r>
        <w:t xml:space="preserve">). </w:t>
      </w:r>
      <w:r w:rsidR="00F46E7D">
        <w:t>For example,</w:t>
      </w:r>
      <w:r w:rsidR="00477BC7">
        <w:t xml:space="preserve"> i</w:t>
      </w:r>
      <w:r>
        <w:t xml:space="preserve">n a story-telling task, speakers were more likely to use a pronoun to refer to goal characters (e.g., Lady Mannerly in 1b), than source characters (e.g., Lady </w:t>
      </w:r>
      <w:r w:rsidR="003A10C2">
        <w:t>Mannerly</w:t>
      </w:r>
      <w:r>
        <w:t xml:space="preserve"> in 1a). Here we ask whether the same effect arises in Spanish. This question is relevant to two more general theoretical questions about pronoun production.</w:t>
      </w:r>
    </w:p>
    <w:p w14:paraId="58406F4B" w14:textId="713263D9" w:rsidR="00123598" w:rsidRDefault="00945097" w:rsidP="00123598">
      <w:pPr>
        <w:pStyle w:val="body"/>
        <w:rPr>
          <w:rFonts w:ascii="Times New Roman" w:hAnsi="Times New Roman" w:cs="Times New Roman"/>
        </w:rPr>
      </w:pPr>
      <w:r>
        <w:rPr>
          <w:rFonts w:ascii="Times New Roman" w:hAnsi="Times New Roman" w:cs="Times New Roman"/>
        </w:rPr>
        <w:t xml:space="preserve">Our first question is whether reference production can be explained by purely syntactic constraints. </w:t>
      </w:r>
      <w:r w:rsidR="00123598">
        <w:rPr>
          <w:rFonts w:ascii="Times New Roman" w:hAnsi="Times New Roman" w:cs="Times New Roman"/>
        </w:rPr>
        <w:t>Despite evidence for a goal bias, several studies</w:t>
      </w:r>
      <w:r w:rsidR="00123598" w:rsidRPr="2EBC3AA5">
        <w:rPr>
          <w:rFonts w:ascii="Times New Roman" w:hAnsi="Times New Roman" w:cs="Times New Roman"/>
        </w:rPr>
        <w:t xml:space="preserve"> </w:t>
      </w:r>
      <w:r w:rsidR="00123598">
        <w:rPr>
          <w:rFonts w:ascii="Times New Roman" w:hAnsi="Times New Roman" w:cs="Times New Roman"/>
        </w:rPr>
        <w:t xml:space="preserve">on pronoun production in English </w:t>
      </w:r>
      <w:r w:rsidR="00123598" w:rsidRPr="2EBC3AA5">
        <w:rPr>
          <w:rFonts w:ascii="Times New Roman" w:hAnsi="Times New Roman" w:cs="Times New Roman"/>
        </w:rPr>
        <w:t xml:space="preserve">suggest that reference production is driven entirely by </w:t>
      </w:r>
      <w:r w:rsidR="00123598">
        <w:rPr>
          <w:rFonts w:ascii="Times New Roman" w:hAnsi="Times New Roman" w:cs="Times New Roman"/>
        </w:rPr>
        <w:t>a subject bias</w:t>
      </w:r>
      <w:r w:rsidR="006C7379">
        <w:rPr>
          <w:rFonts w:ascii="Times New Roman" w:hAnsi="Times New Roman" w:cs="Times New Roman"/>
        </w:rPr>
        <w:t>, where</w:t>
      </w:r>
      <w:r w:rsidR="006B1427">
        <w:rPr>
          <w:rFonts w:ascii="Times New Roman" w:hAnsi="Times New Roman" w:cs="Times New Roman"/>
        </w:rPr>
        <w:t xml:space="preserve"> </w:t>
      </w:r>
      <w:r w:rsidR="00123598" w:rsidRPr="2EBC3AA5">
        <w:rPr>
          <w:rFonts w:ascii="Times New Roman" w:hAnsi="Times New Roman" w:cs="Times New Roman"/>
        </w:rPr>
        <w:t xml:space="preserve">pronouns are </w:t>
      </w:r>
      <w:r w:rsidR="006B1427">
        <w:rPr>
          <w:rFonts w:ascii="Times New Roman" w:hAnsi="Times New Roman" w:cs="Times New Roman"/>
        </w:rPr>
        <w:t xml:space="preserve">preferentially </w:t>
      </w:r>
      <w:r w:rsidR="00123598" w:rsidRPr="2EBC3AA5">
        <w:rPr>
          <w:rFonts w:ascii="Times New Roman" w:hAnsi="Times New Roman" w:cs="Times New Roman"/>
        </w:rPr>
        <w:t xml:space="preserve">selected for </w:t>
      </w:r>
      <w:r w:rsidR="00123598">
        <w:rPr>
          <w:rFonts w:ascii="Times New Roman" w:hAnsi="Times New Roman" w:cs="Times New Roman"/>
        </w:rPr>
        <w:t xml:space="preserve">reference to the subject, and names or descriptions are used for objects and obliques </w:t>
      </w:r>
      <w:r w:rsidR="00123598" w:rsidRPr="00AB4638">
        <w:rPr>
          <w:rFonts w:ascii="Times New Roman" w:hAnsi="Times New Roman" w:cs="Times New Roman"/>
        </w:rPr>
        <w:t>(</w:t>
      </w:r>
      <w:r w:rsidR="00123598" w:rsidRPr="2EBC3AA5">
        <w:rPr>
          <w:rFonts w:ascii="Times New Roman" w:hAnsi="Times New Roman" w:cs="Times New Roman"/>
        </w:rPr>
        <w:t>Fukumura &amp; van Gompel 2010;</w:t>
      </w:r>
      <w:r w:rsidR="00123598">
        <w:rPr>
          <w:rFonts w:ascii="Times New Roman" w:hAnsi="Times New Roman" w:cs="Times New Roman"/>
        </w:rPr>
        <w:t xml:space="preserve"> Kehler,</w:t>
      </w:r>
      <w:r w:rsidR="00123598" w:rsidRPr="00AB4638">
        <w:rPr>
          <w:rFonts w:ascii="Times New Roman" w:hAnsi="Times New Roman" w:cs="Times New Roman"/>
        </w:rPr>
        <w:t xml:space="preserve"> Kertz, Rohde, &amp; Elman, 2008</w:t>
      </w:r>
      <w:r w:rsidR="00123598">
        <w:rPr>
          <w:rFonts w:ascii="Times New Roman" w:hAnsi="Times New Roman" w:cs="Times New Roman"/>
        </w:rPr>
        <w:t xml:space="preserve">; </w:t>
      </w:r>
      <w:r w:rsidR="00123598" w:rsidRPr="2EBC3AA5">
        <w:rPr>
          <w:rFonts w:ascii="Times New Roman" w:hAnsi="Times New Roman" w:cs="Times New Roman"/>
        </w:rPr>
        <w:t>K</w:t>
      </w:r>
      <w:r w:rsidR="00123598">
        <w:rPr>
          <w:rFonts w:ascii="Times New Roman" w:hAnsi="Times New Roman" w:cs="Times New Roman"/>
        </w:rPr>
        <w:t>ehler &amp; Rohde, 2013</w:t>
      </w:r>
      <w:r w:rsidR="00123598" w:rsidRPr="00AB4638">
        <w:rPr>
          <w:rFonts w:ascii="Times New Roman" w:hAnsi="Times New Roman" w:cs="Times New Roman"/>
        </w:rPr>
        <w:t>; Rohde &amp; Kehler, 2014;</w:t>
      </w:r>
      <w:r w:rsidR="00123598">
        <w:rPr>
          <w:rFonts w:ascii="Times New Roman" w:hAnsi="Times New Roman" w:cs="Times New Roman"/>
        </w:rPr>
        <w:t xml:space="preserve"> see also van Rij, van Rijn, &amp; Hendricks</w:t>
      </w:r>
      <w:r w:rsidR="00123598" w:rsidRPr="2EBC3AA5">
        <w:rPr>
          <w:rFonts w:ascii="Times New Roman" w:hAnsi="Times New Roman" w:cs="Times New Roman"/>
        </w:rPr>
        <w:t>, 2012 for a similar model in comprehension).  Support from this claim comes from several experiments</w:t>
      </w:r>
      <w:r w:rsidR="00123598">
        <w:rPr>
          <w:rFonts w:ascii="Times New Roman" w:hAnsi="Times New Roman" w:cs="Times New Roman"/>
        </w:rPr>
        <w:t xml:space="preserve"> in English</w:t>
      </w:r>
      <w:r w:rsidR="00123598" w:rsidRPr="2EBC3AA5">
        <w:rPr>
          <w:rFonts w:ascii="Times New Roman" w:hAnsi="Times New Roman" w:cs="Times New Roman"/>
        </w:rPr>
        <w:t xml:space="preserve"> in which the authors manipulate the predictability of the subject and nonsubject characters.  </w:t>
      </w:r>
      <w:r w:rsidR="00123598">
        <w:rPr>
          <w:rFonts w:ascii="Times New Roman" w:hAnsi="Times New Roman" w:cs="Times New Roman"/>
        </w:rPr>
        <w:t>For example,</w:t>
      </w:r>
      <w:r w:rsidR="00123598" w:rsidRPr="2EBC3AA5">
        <w:rPr>
          <w:rFonts w:ascii="Times New Roman" w:hAnsi="Times New Roman" w:cs="Times New Roman"/>
        </w:rPr>
        <w:t xml:space="preserve"> in </w:t>
      </w:r>
      <w:r w:rsidR="00123598" w:rsidRPr="2EBC3AA5">
        <w:rPr>
          <w:rFonts w:ascii="Times New Roman" w:hAnsi="Times New Roman" w:cs="Times New Roman"/>
          <w:i/>
          <w:iCs/>
        </w:rPr>
        <w:t>John amazed Bill</w:t>
      </w:r>
      <w:r w:rsidR="00123598" w:rsidRPr="2EBC3AA5">
        <w:rPr>
          <w:rFonts w:ascii="Times New Roman" w:hAnsi="Times New Roman" w:cs="Times New Roman"/>
        </w:rPr>
        <w:t xml:space="preserve">, participants expect that John was the cause of the event, whereas </w:t>
      </w:r>
      <w:r w:rsidR="00123598" w:rsidRPr="2EBC3AA5">
        <w:rPr>
          <w:rFonts w:ascii="Times New Roman" w:hAnsi="Times New Roman" w:cs="Times New Roman"/>
          <w:i/>
          <w:iCs/>
        </w:rPr>
        <w:t>John admired Bill</w:t>
      </w:r>
      <w:r w:rsidR="00123598" w:rsidRPr="2EBC3AA5">
        <w:rPr>
          <w:rFonts w:ascii="Times New Roman" w:hAnsi="Times New Roman" w:cs="Times New Roman"/>
        </w:rPr>
        <w:t xml:space="preserve"> produces the opposite causality judgment (Brown &amp; Fish, 1983).  In this type of event, people tend to expect the implicit cause to be mentioned again, making it predictable. This predictability is associated with the thematic roles of the characters, where John is the stimulus in the </w:t>
      </w:r>
      <w:r w:rsidR="00123598" w:rsidRPr="2EBC3AA5">
        <w:rPr>
          <w:rFonts w:ascii="Times New Roman" w:hAnsi="Times New Roman" w:cs="Times New Roman"/>
          <w:i/>
          <w:iCs/>
        </w:rPr>
        <w:t>amaze</w:t>
      </w:r>
      <w:r w:rsidR="00123598" w:rsidRPr="2EBC3AA5">
        <w:rPr>
          <w:rFonts w:ascii="Times New Roman" w:hAnsi="Times New Roman" w:cs="Times New Roman"/>
        </w:rPr>
        <w:t xml:space="preserve"> sentence, and Bill is the stimulus in the </w:t>
      </w:r>
      <w:r w:rsidR="00123598" w:rsidRPr="2EBC3AA5">
        <w:rPr>
          <w:rFonts w:ascii="Times New Roman" w:hAnsi="Times New Roman" w:cs="Times New Roman"/>
          <w:i/>
          <w:iCs/>
        </w:rPr>
        <w:t>admire</w:t>
      </w:r>
      <w:r w:rsidR="00123598" w:rsidRPr="2EBC3AA5">
        <w:rPr>
          <w:rFonts w:ascii="Times New Roman" w:hAnsi="Times New Roman" w:cs="Times New Roman"/>
        </w:rPr>
        <w:t xml:space="preserve"> sentence. In both cases, the stimulus is the more expected</w:t>
      </w:r>
      <w:r w:rsidR="00123598">
        <w:rPr>
          <w:rFonts w:ascii="Times New Roman" w:hAnsi="Times New Roman" w:cs="Times New Roman"/>
        </w:rPr>
        <w:t xml:space="preserve"> referent</w:t>
      </w:r>
      <w:r w:rsidR="00123598" w:rsidRPr="2EBC3AA5">
        <w:rPr>
          <w:rFonts w:ascii="Times New Roman" w:hAnsi="Times New Roman" w:cs="Times New Roman"/>
        </w:rPr>
        <w:t xml:space="preserve">, but several studies found that speakers have no preference to use pronouns more for the stimulus compared to the experiencer (Kehler &amp; Rohde, 2013; Kehler et </w:t>
      </w:r>
      <w:r w:rsidR="00123598">
        <w:rPr>
          <w:rFonts w:ascii="Times New Roman" w:hAnsi="Times New Roman" w:cs="Times New Roman"/>
        </w:rPr>
        <w:t xml:space="preserve">al., 2008; </w:t>
      </w:r>
      <w:r w:rsidR="00123598" w:rsidRPr="2EBC3AA5">
        <w:rPr>
          <w:rFonts w:ascii="Times New Roman" w:hAnsi="Times New Roman" w:cs="Times New Roman"/>
          <w:lang w:val="en-GB"/>
        </w:rPr>
        <w:t>Kravtchenko, Modi, Demberg, Titov, &amp; Pinkal, 2017</w:t>
      </w:r>
      <w:r w:rsidR="00123598">
        <w:rPr>
          <w:rFonts w:ascii="Times New Roman" w:hAnsi="Times New Roman" w:cs="Times New Roman"/>
          <w:lang w:val="en-GB"/>
        </w:rPr>
        <w:t xml:space="preserve">; </w:t>
      </w:r>
      <w:r w:rsidR="00123598">
        <w:rPr>
          <w:rFonts w:ascii="Times New Roman" w:hAnsi="Times New Roman" w:cs="Times New Roman"/>
        </w:rPr>
        <w:t>Rohde &amp; Kehler, 2014</w:t>
      </w:r>
      <w:r w:rsidR="00123598" w:rsidRPr="2EBC3AA5">
        <w:rPr>
          <w:rFonts w:ascii="Times New Roman" w:hAnsi="Times New Roman" w:cs="Times New Roman"/>
        </w:rPr>
        <w:t xml:space="preserve">). </w:t>
      </w:r>
    </w:p>
    <w:p w14:paraId="1F64CCA0" w14:textId="77777777" w:rsidR="00A7322B" w:rsidRDefault="00CB3E76" w:rsidP="00FF0ABF">
      <w:pPr>
        <w:pStyle w:val="body"/>
        <w:rPr>
          <w:rFonts w:ascii="Times New Roman" w:hAnsi="Times New Roman" w:cs="Times New Roman"/>
        </w:rPr>
      </w:pPr>
      <w:r>
        <w:rPr>
          <w:rFonts w:ascii="Times New Roman" w:hAnsi="Times New Roman" w:cs="Times New Roman"/>
        </w:rPr>
        <w:t xml:space="preserve">By contrast, to our knowledge there is no work testing whether semantic constraints affect reference production in null subject languages. </w:t>
      </w:r>
      <w:r w:rsidR="000C3019">
        <w:rPr>
          <w:rFonts w:ascii="Times New Roman" w:hAnsi="Times New Roman" w:cs="Times New Roman"/>
        </w:rPr>
        <w:t xml:space="preserve">We therefore instead turn </w:t>
      </w:r>
      <w:r w:rsidR="008D6CB8">
        <w:rPr>
          <w:rFonts w:ascii="Times New Roman" w:hAnsi="Times New Roman" w:cs="Times New Roman"/>
        </w:rPr>
        <w:t xml:space="preserve">to research on comprehension, which emphasizes the role of the syntactic context. </w:t>
      </w:r>
      <w:r w:rsidR="00AE174A">
        <w:rPr>
          <w:rFonts w:ascii="Times New Roman" w:hAnsi="Times New Roman" w:cs="Times New Roman"/>
        </w:rPr>
        <w:t xml:space="preserve">One clear-cut example of </w:t>
      </w:r>
      <w:r w:rsidR="00AE174A">
        <w:rPr>
          <w:rFonts w:ascii="Times New Roman" w:hAnsi="Times New Roman" w:cs="Times New Roman"/>
        </w:rPr>
        <w:lastRenderedPageBreak/>
        <w:t>this is</w:t>
      </w:r>
      <w:r w:rsidR="008D6CB8">
        <w:rPr>
          <w:rFonts w:ascii="Times New Roman" w:hAnsi="Times New Roman" w:cs="Times New Roman"/>
        </w:rPr>
        <w:t xml:space="preserve"> </w:t>
      </w:r>
      <w:r w:rsidR="00123598" w:rsidRPr="2EBC3AA5">
        <w:rPr>
          <w:rFonts w:ascii="Times New Roman" w:hAnsi="Times New Roman" w:cs="Times New Roman"/>
        </w:rPr>
        <w:t>Carminati’s Position of Antecedent Hypothesis (PAH</w:t>
      </w:r>
      <w:r w:rsidR="008D6CB8">
        <w:rPr>
          <w:rFonts w:ascii="Times New Roman" w:hAnsi="Times New Roman" w:cs="Times New Roman"/>
        </w:rPr>
        <w:t>)</w:t>
      </w:r>
      <w:r w:rsidR="00AE174A">
        <w:rPr>
          <w:rFonts w:ascii="Times New Roman" w:hAnsi="Times New Roman" w:cs="Times New Roman"/>
        </w:rPr>
        <w:t>, which</w:t>
      </w:r>
      <w:r w:rsidR="008D6CB8">
        <w:rPr>
          <w:rFonts w:ascii="Times New Roman" w:hAnsi="Times New Roman" w:cs="Times New Roman"/>
        </w:rPr>
        <w:t xml:space="preserve"> proposes that in Italian (a null subject language), pronoun comprehension is driven by </w:t>
      </w:r>
      <w:r w:rsidR="00AE174A">
        <w:rPr>
          <w:rFonts w:ascii="Times New Roman" w:hAnsi="Times New Roman" w:cs="Times New Roman"/>
        </w:rPr>
        <w:t xml:space="preserve">only </w:t>
      </w:r>
      <w:r w:rsidR="00123598" w:rsidRPr="2EBC3AA5">
        <w:rPr>
          <w:rFonts w:ascii="Times New Roman" w:hAnsi="Times New Roman" w:cs="Times New Roman"/>
        </w:rPr>
        <w:t>syntactic position</w:t>
      </w:r>
      <w:r w:rsidR="008D6CB8">
        <w:rPr>
          <w:rFonts w:ascii="Times New Roman" w:hAnsi="Times New Roman" w:cs="Times New Roman"/>
        </w:rPr>
        <w:t>, where n</w:t>
      </w:r>
      <w:r w:rsidR="00123598" w:rsidRPr="2EBC3AA5">
        <w:rPr>
          <w:rFonts w:ascii="Times New Roman" w:hAnsi="Times New Roman" w:cs="Times New Roman"/>
        </w:rPr>
        <w:t>ull pronouns are preferred for reference to subjects, and overt pronouns are preferred for a lower syntactic position</w:t>
      </w:r>
      <w:r w:rsidR="008D6CB8">
        <w:rPr>
          <w:rFonts w:ascii="Times New Roman" w:hAnsi="Times New Roman" w:cs="Times New Roman"/>
        </w:rPr>
        <w:t xml:space="preserve"> </w:t>
      </w:r>
      <w:r w:rsidR="008D6CB8" w:rsidRPr="2EBC3AA5">
        <w:rPr>
          <w:rFonts w:ascii="Times New Roman" w:hAnsi="Times New Roman" w:cs="Times New Roman"/>
        </w:rPr>
        <w:t xml:space="preserve">(Carminati, 2002). </w:t>
      </w:r>
      <w:r w:rsidR="00123598" w:rsidRPr="2EBC3AA5">
        <w:rPr>
          <w:rFonts w:ascii="Times New Roman" w:hAnsi="Times New Roman" w:cs="Times New Roman"/>
        </w:rPr>
        <w:t xml:space="preserve">Violating this bias leads to difficulty in processing for comprehenders, and referential status, morphological or lexical properties are irrelevant. </w:t>
      </w:r>
    </w:p>
    <w:p w14:paraId="0EE3082A" w14:textId="1C44322A" w:rsidR="000F26FB" w:rsidRDefault="00A7322B" w:rsidP="000F26FB">
      <w:pPr>
        <w:pStyle w:val="body"/>
        <w:rPr>
          <w:rFonts w:ascii="Times New Roman" w:hAnsi="Times New Roman" w:cs="Times New Roman"/>
        </w:rPr>
      </w:pPr>
      <w:r>
        <w:rPr>
          <w:rFonts w:ascii="Times New Roman" w:hAnsi="Times New Roman" w:cs="Times New Roman"/>
        </w:rPr>
        <w:t>Other comprehension research follows the broader principle that referential expressions are pragmatically constrained</w:t>
      </w:r>
      <w:r w:rsidR="000F26FB">
        <w:rPr>
          <w:rFonts w:ascii="Times New Roman" w:hAnsi="Times New Roman" w:cs="Times New Roman"/>
        </w:rPr>
        <w:t xml:space="preserve">. Several models </w:t>
      </w:r>
      <w:r w:rsidR="000F26FB" w:rsidRPr="2EBC3AA5">
        <w:rPr>
          <w:rFonts w:ascii="Times New Roman" w:hAnsi="Times New Roman" w:cs="Times New Roman"/>
        </w:rPr>
        <w:t>propose that reference form reflects the cognitive status of the referent, which has been described as accessibility, givenness, salience, or prominence (e.g. Ariel, 1990; 2001; Arnold, 2010</w:t>
      </w:r>
      <w:r w:rsidR="000F26FB">
        <w:rPr>
          <w:rFonts w:ascii="Times New Roman" w:hAnsi="Times New Roman" w:cs="Times New Roman"/>
        </w:rPr>
        <w:t>; 2016; Chafe, 1976, 2004; Giv</w:t>
      </w:r>
      <w:r w:rsidR="000F26FB" w:rsidRPr="00311840">
        <w:rPr>
          <w:rFonts w:ascii="Times New Roman" w:hAnsi="Times New Roman" w:cs="Times New Roman"/>
          <w:shd w:val="clear" w:color="auto" w:fill="FFFFFF"/>
        </w:rPr>
        <w:t>ó</w:t>
      </w:r>
      <w:r w:rsidR="000F26FB" w:rsidRPr="00311840">
        <w:rPr>
          <w:rFonts w:ascii="Times New Roman" w:hAnsi="Times New Roman" w:cs="Times New Roman"/>
        </w:rPr>
        <w:t>n</w:t>
      </w:r>
      <w:r w:rsidR="000F26FB" w:rsidRPr="2EBC3AA5">
        <w:rPr>
          <w:rFonts w:ascii="Times New Roman" w:hAnsi="Times New Roman" w:cs="Times New Roman"/>
        </w:rPr>
        <w:t>, 198</w:t>
      </w:r>
      <w:r w:rsidR="000F26FB">
        <w:rPr>
          <w:rFonts w:ascii="Times New Roman" w:hAnsi="Times New Roman" w:cs="Times New Roman"/>
        </w:rPr>
        <w:t>3</w:t>
      </w:r>
      <w:r w:rsidR="000F26FB" w:rsidRPr="2EBC3AA5">
        <w:rPr>
          <w:rFonts w:ascii="Times New Roman" w:hAnsi="Times New Roman" w:cs="Times New Roman"/>
        </w:rPr>
        <w:t>)</w:t>
      </w:r>
      <w:r w:rsidR="000F26FB">
        <w:rPr>
          <w:rFonts w:ascii="Times New Roman" w:hAnsi="Times New Roman" w:cs="Times New Roman"/>
        </w:rPr>
        <w:t xml:space="preserve">. Work on comprehension shows that </w:t>
      </w:r>
      <w:r>
        <w:rPr>
          <w:rFonts w:ascii="Times New Roman" w:hAnsi="Times New Roman" w:cs="Times New Roman"/>
        </w:rPr>
        <w:t xml:space="preserve">more reduced forms (e.g., null pronouns) are appropriate for the most salient or accessible referents, whereas the more explicit forms are appropriate for reference to less accessible </w:t>
      </w:r>
      <w:r w:rsidR="000F26FB">
        <w:rPr>
          <w:rFonts w:ascii="Times New Roman" w:hAnsi="Times New Roman" w:cs="Times New Roman"/>
        </w:rPr>
        <w:t>information</w:t>
      </w:r>
      <w:r w:rsidR="0073106E">
        <w:rPr>
          <w:rFonts w:ascii="Times New Roman" w:hAnsi="Times New Roman" w:cs="Times New Roman"/>
        </w:rPr>
        <w:t xml:space="preserve"> </w:t>
      </w:r>
      <w:r>
        <w:rPr>
          <w:rFonts w:ascii="Times New Roman" w:hAnsi="Times New Roman" w:cs="Times New Roman"/>
        </w:rPr>
        <w:t>(e.g., Ariel, 1990; Gundel et al., 1993)</w:t>
      </w:r>
      <w:r w:rsidR="00C35D14">
        <w:rPr>
          <w:rFonts w:ascii="Times New Roman" w:hAnsi="Times New Roman" w:cs="Times New Roman"/>
        </w:rPr>
        <w:t>; overt pronouns fall in the middle (Fil</w:t>
      </w:r>
      <w:r w:rsidR="00F55A91">
        <w:rPr>
          <w:rFonts w:ascii="Times New Roman" w:hAnsi="Times New Roman" w:cs="Times New Roman"/>
        </w:rPr>
        <w:t>i</w:t>
      </w:r>
      <w:r w:rsidR="00C35D14">
        <w:rPr>
          <w:rFonts w:ascii="Times New Roman" w:hAnsi="Times New Roman" w:cs="Times New Roman"/>
        </w:rPr>
        <w:t>aci et al., 2013)</w:t>
      </w:r>
      <w:r>
        <w:rPr>
          <w:rFonts w:ascii="Times New Roman" w:hAnsi="Times New Roman" w:cs="Times New Roman"/>
        </w:rPr>
        <w:t>.</w:t>
      </w:r>
      <w:r w:rsidR="00C35D14">
        <w:rPr>
          <w:rFonts w:ascii="Times New Roman" w:hAnsi="Times New Roman" w:cs="Times New Roman"/>
        </w:rPr>
        <w:t xml:space="preserve"> </w:t>
      </w:r>
    </w:p>
    <w:p w14:paraId="743B0F65" w14:textId="51D9686A" w:rsidR="00C35D14" w:rsidRDefault="0073106E" w:rsidP="000F26FB">
      <w:pPr>
        <w:pStyle w:val="body"/>
        <w:rPr>
          <w:rFonts w:ascii="Times New Roman" w:hAnsi="Times New Roman" w:cs="Times New Roman"/>
        </w:rPr>
      </w:pPr>
      <w:r>
        <w:rPr>
          <w:rFonts w:ascii="Times New Roman" w:hAnsi="Times New Roman" w:cs="Times New Roman"/>
        </w:rPr>
        <w:t xml:space="preserve">While numerous factors could potentially guide salience/accessibility, </w:t>
      </w:r>
      <w:r w:rsidR="005265B0">
        <w:rPr>
          <w:rFonts w:ascii="Times New Roman" w:hAnsi="Times New Roman" w:cs="Times New Roman"/>
        </w:rPr>
        <w:t>one of the constraints that has received substantial support from experimental work on pronoun comprehension is the role of subjecthood</w:t>
      </w:r>
      <w:r>
        <w:rPr>
          <w:rFonts w:ascii="Times New Roman" w:hAnsi="Times New Roman" w:cs="Times New Roman"/>
        </w:rPr>
        <w:t xml:space="preserve">. </w:t>
      </w:r>
      <w:r w:rsidR="00C35D14">
        <w:rPr>
          <w:rFonts w:ascii="Times New Roman" w:hAnsi="Times New Roman" w:cs="Times New Roman"/>
        </w:rPr>
        <w:t xml:space="preserve">For example, </w:t>
      </w:r>
      <w:r w:rsidR="00CD7C41">
        <w:rPr>
          <w:rFonts w:ascii="Times New Roman" w:hAnsi="Times New Roman" w:cs="Times New Roman"/>
        </w:rPr>
        <w:t>Gelormini and Almor (201</w:t>
      </w:r>
      <w:r w:rsidR="00133939">
        <w:rPr>
          <w:rFonts w:ascii="Times New Roman" w:hAnsi="Times New Roman" w:cs="Times New Roman"/>
        </w:rPr>
        <w:t>1, 2013</w:t>
      </w:r>
      <w:r w:rsidR="00CD7C41">
        <w:rPr>
          <w:rFonts w:ascii="Times New Roman" w:hAnsi="Times New Roman" w:cs="Times New Roman"/>
        </w:rPr>
        <w:t xml:space="preserve">; Gelormini, 2018) demonstrate that </w:t>
      </w:r>
      <w:r w:rsidR="00133939">
        <w:rPr>
          <w:rFonts w:ascii="Times New Roman" w:hAnsi="Times New Roman" w:cs="Times New Roman"/>
        </w:rPr>
        <w:t>in Spanish, readers slow down when an overt pronoun is used to refer to the prior subject, compared to sentences with a null pronoun. They term this effect the Overt Pronoun Penalty (OPP), and they interpret this as evidence that referential forms are pragmatically specialized, such that the more explicit forms are more felicitous when they refer to entities that are less prominent in the context (for similar findings see</w:t>
      </w:r>
      <w:r w:rsidR="00123598" w:rsidRPr="2EBC3AA5">
        <w:rPr>
          <w:rFonts w:ascii="Times New Roman" w:hAnsi="Times New Roman" w:cs="Times New Roman"/>
        </w:rPr>
        <w:t xml:space="preserve"> </w:t>
      </w:r>
      <w:r w:rsidR="00123598">
        <w:rPr>
          <w:color w:val="000000" w:themeColor="text1"/>
        </w:rPr>
        <w:t>Alonso-Ovalle,</w:t>
      </w:r>
      <w:r w:rsidR="00123598" w:rsidRPr="2EBC3AA5">
        <w:rPr>
          <w:color w:val="000000" w:themeColor="text1"/>
        </w:rPr>
        <w:t xml:space="preserve"> Fernández-Solera, Frazier, &amp; Clifton,</w:t>
      </w:r>
      <w:r w:rsidR="00123598">
        <w:rPr>
          <w:color w:val="000000" w:themeColor="text1"/>
        </w:rPr>
        <w:t xml:space="preserve"> 2002; </w:t>
      </w:r>
      <w:r w:rsidR="00123598" w:rsidRPr="2EBC3AA5">
        <w:rPr>
          <w:rFonts w:ascii="Times New Roman" w:hAnsi="Times New Roman" w:cs="Times New Roman"/>
        </w:rPr>
        <w:t>Fil</w:t>
      </w:r>
      <w:r w:rsidR="00123598">
        <w:rPr>
          <w:rFonts w:ascii="Times New Roman" w:hAnsi="Times New Roman" w:cs="Times New Roman"/>
        </w:rPr>
        <w:t>iaci, 2011</w:t>
      </w:r>
      <w:r w:rsidR="001D6888">
        <w:rPr>
          <w:rFonts w:ascii="Times New Roman" w:hAnsi="Times New Roman" w:cs="Times New Roman"/>
        </w:rPr>
        <w:t xml:space="preserve">). </w:t>
      </w:r>
    </w:p>
    <w:p w14:paraId="3AFA69B6" w14:textId="0320E232" w:rsidR="00123598" w:rsidRDefault="00123598" w:rsidP="00C35D14">
      <w:pPr>
        <w:pStyle w:val="body"/>
        <w:rPr>
          <w:rFonts w:ascii="Times New Roman" w:hAnsi="Times New Roman" w:cs="Times New Roman"/>
        </w:rPr>
      </w:pPr>
      <w:r w:rsidRPr="2EBC3AA5">
        <w:rPr>
          <w:rFonts w:ascii="Times New Roman" w:hAnsi="Times New Roman" w:cs="Times New Roman"/>
        </w:rPr>
        <w:t xml:space="preserve">While this work focuses on comprehension, </w:t>
      </w:r>
      <w:r w:rsidR="00A521E7">
        <w:rPr>
          <w:rFonts w:ascii="Times New Roman" w:hAnsi="Times New Roman" w:cs="Times New Roman"/>
        </w:rPr>
        <w:t xml:space="preserve">if the same factors affect </w:t>
      </w:r>
      <w:r w:rsidRPr="2EBC3AA5">
        <w:rPr>
          <w:rFonts w:ascii="Times New Roman" w:hAnsi="Times New Roman" w:cs="Times New Roman"/>
        </w:rPr>
        <w:t>production</w:t>
      </w:r>
      <w:r w:rsidR="00A521E7">
        <w:rPr>
          <w:rFonts w:ascii="Times New Roman" w:hAnsi="Times New Roman" w:cs="Times New Roman"/>
        </w:rPr>
        <w:t xml:space="preserve"> then we should expect that speakers </w:t>
      </w:r>
      <w:r w:rsidRPr="2EBC3AA5">
        <w:rPr>
          <w:rFonts w:ascii="Times New Roman" w:hAnsi="Times New Roman" w:cs="Times New Roman"/>
        </w:rPr>
        <w:t xml:space="preserve">should also follow a strategy of selecting null pronouns for </w:t>
      </w:r>
      <w:r w:rsidRPr="2EBC3AA5">
        <w:rPr>
          <w:rFonts w:ascii="Times New Roman" w:hAnsi="Times New Roman" w:cs="Times New Roman"/>
        </w:rPr>
        <w:lastRenderedPageBreak/>
        <w:t>subjects</w:t>
      </w:r>
      <w:r>
        <w:rPr>
          <w:rFonts w:ascii="Times New Roman" w:hAnsi="Times New Roman" w:cs="Times New Roman"/>
        </w:rPr>
        <w:t xml:space="preserve">. </w:t>
      </w:r>
      <w:r w:rsidR="00FF0ABF">
        <w:rPr>
          <w:rFonts w:ascii="Times New Roman" w:hAnsi="Times New Roman" w:cs="Times New Roman"/>
        </w:rPr>
        <w:t xml:space="preserve">On the other hand, recent work </w:t>
      </w:r>
      <w:r w:rsidRPr="2EBC3AA5">
        <w:rPr>
          <w:rFonts w:ascii="Times New Roman" w:hAnsi="Times New Roman" w:cs="Times New Roman"/>
        </w:rPr>
        <w:t xml:space="preserve">suggests that thematic roles also affect pronoun comprehension in Italian (Fedele &amp; Kaiser, 2015), and that people have similar causality biases across multiple languages, including Spanish and Italian (Hartshorne, Sudo, &amp; Uruwashi, 2013). </w:t>
      </w:r>
      <w:r w:rsidR="00FF0ABF">
        <w:rPr>
          <w:rFonts w:ascii="Times New Roman" w:hAnsi="Times New Roman" w:cs="Times New Roman"/>
        </w:rPr>
        <w:t>This raises questions about whether semantic constraints also affect production.</w:t>
      </w:r>
    </w:p>
    <w:p w14:paraId="7BB3E3E1" w14:textId="32176977" w:rsidR="008615B4" w:rsidRPr="00AC031A" w:rsidRDefault="00FF0ABF" w:rsidP="00FF0ABF">
      <w:pPr>
        <w:pStyle w:val="body"/>
        <w:rPr>
          <w:rFonts w:ascii="Times New Roman" w:hAnsi="Times New Roman" w:cs="Times New Roman"/>
        </w:rPr>
      </w:pPr>
      <w:r>
        <w:rPr>
          <w:rFonts w:ascii="Times New Roman" w:hAnsi="Times New Roman" w:cs="Times New Roman"/>
        </w:rPr>
        <w:t xml:space="preserve">Our second question is whether </w:t>
      </w:r>
      <w:r w:rsidR="008615B4" w:rsidRPr="2EBC3AA5">
        <w:rPr>
          <w:rFonts w:ascii="Times New Roman" w:hAnsi="Times New Roman" w:cs="Times New Roman"/>
        </w:rPr>
        <w:t xml:space="preserve">the same production model accounts for referential choices in all languages. Some previous </w:t>
      </w:r>
      <w:r w:rsidR="00230108">
        <w:rPr>
          <w:rFonts w:ascii="Times New Roman" w:hAnsi="Times New Roman" w:cs="Times New Roman"/>
        </w:rPr>
        <w:t>work</w:t>
      </w:r>
      <w:r w:rsidR="008615B4" w:rsidRPr="2EBC3AA5">
        <w:rPr>
          <w:rFonts w:ascii="Times New Roman" w:hAnsi="Times New Roman" w:cs="Times New Roman"/>
        </w:rPr>
        <w:t xml:space="preserve"> </w:t>
      </w:r>
      <w:r w:rsidR="00305A30">
        <w:rPr>
          <w:rFonts w:ascii="Times New Roman" w:hAnsi="Times New Roman" w:cs="Times New Roman"/>
        </w:rPr>
        <w:t>supports this idea</w:t>
      </w:r>
      <w:r w:rsidR="008615B4" w:rsidRPr="2EBC3AA5">
        <w:rPr>
          <w:rFonts w:ascii="Times New Roman" w:hAnsi="Times New Roman" w:cs="Times New Roman"/>
        </w:rPr>
        <w:t xml:space="preserve">. </w:t>
      </w:r>
      <w:r w:rsidR="00585C29">
        <w:rPr>
          <w:rFonts w:ascii="Times New Roman" w:hAnsi="Times New Roman" w:cs="Times New Roman"/>
        </w:rPr>
        <w:t>Several studies show that cross-linguistically, reference form choices tend to pattern with the information status of the referent: l</w:t>
      </w:r>
      <w:r w:rsidR="008615B4" w:rsidRPr="2EBC3AA5">
        <w:rPr>
          <w:rFonts w:ascii="Times New Roman" w:hAnsi="Times New Roman" w:cs="Times New Roman"/>
        </w:rPr>
        <w:t>ess-specified expressions, like pronouns or null reference</w:t>
      </w:r>
      <w:r w:rsidR="008609DD">
        <w:rPr>
          <w:rFonts w:ascii="Times New Roman" w:hAnsi="Times New Roman" w:cs="Times New Roman"/>
        </w:rPr>
        <w:t>,</w:t>
      </w:r>
      <w:r w:rsidR="00585C29">
        <w:rPr>
          <w:rFonts w:ascii="Times New Roman" w:hAnsi="Times New Roman" w:cs="Times New Roman"/>
        </w:rPr>
        <w:t xml:space="preserve"> tend to be used for salient/accessible referents, while </w:t>
      </w:r>
      <w:r w:rsidR="008615B4" w:rsidRPr="2EBC3AA5">
        <w:rPr>
          <w:rFonts w:ascii="Times New Roman" w:hAnsi="Times New Roman" w:cs="Times New Roman"/>
        </w:rPr>
        <w:t xml:space="preserve">more explicit expressions </w:t>
      </w:r>
      <w:r w:rsidR="00585C29">
        <w:rPr>
          <w:rFonts w:ascii="Times New Roman" w:hAnsi="Times New Roman" w:cs="Times New Roman"/>
        </w:rPr>
        <w:t xml:space="preserve">tend to be used for less salient/accessible entities (e.g., </w:t>
      </w:r>
      <w:r w:rsidR="003B624C">
        <w:rPr>
          <w:rFonts w:ascii="Times New Roman" w:hAnsi="Times New Roman" w:cs="Times New Roman"/>
        </w:rPr>
        <w:t>Arnold, 1998</w:t>
      </w:r>
      <w:r w:rsidR="00585C29">
        <w:rPr>
          <w:rFonts w:ascii="Times New Roman" w:hAnsi="Times New Roman" w:cs="Times New Roman"/>
        </w:rPr>
        <w:t xml:space="preserve"> Gundel et al., 1993; Givon, 1983)</w:t>
      </w:r>
      <w:r w:rsidR="003B624C">
        <w:rPr>
          <w:rFonts w:ascii="Times New Roman" w:hAnsi="Times New Roman" w:cs="Times New Roman"/>
        </w:rPr>
        <w:t>, which has led to theoretical proposals that referential forms are pragmatically specialized for cognitive status (Ariel, 1990; Gundel et al., 1993).</w:t>
      </w:r>
      <w:r w:rsidR="00585C29">
        <w:rPr>
          <w:rFonts w:ascii="Times New Roman" w:hAnsi="Times New Roman" w:cs="Times New Roman"/>
        </w:rPr>
        <w:t xml:space="preserve"> </w:t>
      </w:r>
      <w:r w:rsidR="003B624C">
        <w:rPr>
          <w:rFonts w:ascii="Times New Roman" w:hAnsi="Times New Roman" w:cs="Times New Roman"/>
        </w:rPr>
        <w:t>While these proposals are not processing models of production per se, they have often been used to generate predictions for biases during language production</w:t>
      </w:r>
      <w:r w:rsidR="00087BF5">
        <w:rPr>
          <w:rFonts w:ascii="Times New Roman" w:hAnsi="Times New Roman" w:cs="Times New Roman"/>
        </w:rPr>
        <w:t xml:space="preserve">. For example, as Arnold (2016) argues, a natural extension </w:t>
      </w:r>
      <w:r w:rsidR="00652CD9">
        <w:rPr>
          <w:rFonts w:ascii="Times New Roman" w:hAnsi="Times New Roman" w:cs="Times New Roman"/>
        </w:rPr>
        <w:t xml:space="preserve">of these proposals </w:t>
      </w:r>
      <w:r w:rsidR="00087BF5">
        <w:rPr>
          <w:rFonts w:ascii="Times New Roman" w:hAnsi="Times New Roman" w:cs="Times New Roman"/>
        </w:rPr>
        <w:t>would be to assume that during production, the cognitive status of the referent guides the selection of a referential form</w:t>
      </w:r>
      <w:r w:rsidR="00CB0AE0">
        <w:rPr>
          <w:rFonts w:ascii="Times New Roman" w:hAnsi="Times New Roman" w:cs="Times New Roman"/>
        </w:rPr>
        <w:t xml:space="preserve"> during production</w:t>
      </w:r>
      <w:r w:rsidR="00087BF5">
        <w:rPr>
          <w:rFonts w:ascii="Times New Roman" w:hAnsi="Times New Roman" w:cs="Times New Roman"/>
        </w:rPr>
        <w:t xml:space="preserve">. A simple version of this model might propose that </w:t>
      </w:r>
      <w:r w:rsidR="007F294E">
        <w:rPr>
          <w:rFonts w:ascii="Times New Roman" w:hAnsi="Times New Roman" w:cs="Times New Roman"/>
        </w:rPr>
        <w:t>pronouns are selected when the referent is high in accessibility, while more explicit forms are selected when the referent is low in accessibility.</w:t>
      </w:r>
    </w:p>
    <w:p w14:paraId="35D40F26" w14:textId="42673D4D" w:rsidR="00C03CB1" w:rsidRDefault="00D02145" w:rsidP="008615B4">
      <w:pPr>
        <w:pStyle w:val="body"/>
        <w:rPr>
          <w:rFonts w:ascii="Times New Roman" w:hAnsi="Times New Roman" w:cs="Times New Roman"/>
        </w:rPr>
      </w:pPr>
      <w:r>
        <w:rPr>
          <w:rFonts w:ascii="Times New Roman" w:hAnsi="Times New Roman" w:cs="Times New Roman"/>
        </w:rPr>
        <w:t xml:space="preserve">Yet other evidence suggests that this simple model would not work, because a single dimension of salience </w:t>
      </w:r>
      <w:r w:rsidR="008615B4" w:rsidRPr="2EBC3AA5">
        <w:rPr>
          <w:rFonts w:ascii="Times New Roman" w:hAnsi="Times New Roman" w:cs="Times New Roman"/>
        </w:rPr>
        <w:t>cannot account for referential choice in all languages. Kaiser &amp; Trueswell (2008) demonstrate</w:t>
      </w:r>
      <w:r w:rsidR="004210CE">
        <w:rPr>
          <w:rFonts w:ascii="Times New Roman" w:hAnsi="Times New Roman" w:cs="Times New Roman"/>
        </w:rPr>
        <w:t>d</w:t>
      </w:r>
      <w:r w:rsidR="008615B4" w:rsidRPr="2EBC3AA5">
        <w:rPr>
          <w:rFonts w:ascii="Times New Roman" w:hAnsi="Times New Roman" w:cs="Times New Roman"/>
        </w:rPr>
        <w:t xml:space="preserve"> that Finnish has referential forms that follow different constraints, and moreover that they are influenced by more than salience level. Finnish is different from English in two ways that are relevant to referential form choice. First, it has two kinds of third person pronouns, one of which is gender neutral. Second, it has a flexible </w:t>
      </w:r>
      <w:r w:rsidR="008615B4" w:rsidRPr="2EBC3AA5">
        <w:rPr>
          <w:rFonts w:ascii="Times New Roman" w:hAnsi="Times New Roman" w:cs="Times New Roman"/>
        </w:rPr>
        <w:lastRenderedPageBreak/>
        <w:t xml:space="preserve">word order.  Although the standard word order remains SVO, all six combinations can be admissible. Kaiser and Trueswell found that the pronoun </w:t>
      </w:r>
      <w:r w:rsidR="008615B4" w:rsidRPr="2EBC3AA5">
        <w:rPr>
          <w:rFonts w:ascii="Times New Roman" w:hAnsi="Times New Roman" w:cs="Times New Roman"/>
          <w:i/>
          <w:iCs/>
        </w:rPr>
        <w:t>hän</w:t>
      </w:r>
      <w:r w:rsidR="008615B4" w:rsidRPr="2EBC3AA5">
        <w:rPr>
          <w:rFonts w:ascii="Times New Roman" w:hAnsi="Times New Roman" w:cs="Times New Roman"/>
        </w:rPr>
        <w:t xml:space="preserve"> is used primarily in reference to subjects, r</w:t>
      </w:r>
      <w:r w:rsidR="00DA7AF6">
        <w:rPr>
          <w:rFonts w:ascii="Times New Roman" w:hAnsi="Times New Roman" w:cs="Times New Roman"/>
        </w:rPr>
        <w:t>egardless of word order. In con</w:t>
      </w:r>
      <w:r w:rsidR="008615B4" w:rsidRPr="2EBC3AA5">
        <w:rPr>
          <w:rFonts w:ascii="Times New Roman" w:hAnsi="Times New Roman" w:cs="Times New Roman"/>
        </w:rPr>
        <w:t xml:space="preserve">trast, the demonstrative </w:t>
      </w:r>
      <w:r w:rsidR="008615B4" w:rsidRPr="2EBC3AA5">
        <w:rPr>
          <w:rFonts w:ascii="Times New Roman" w:hAnsi="Times New Roman" w:cs="Times New Roman"/>
          <w:i/>
          <w:iCs/>
        </w:rPr>
        <w:t>tämä</w:t>
      </w:r>
      <w:r w:rsidR="008615B4" w:rsidRPr="2EBC3AA5">
        <w:rPr>
          <w:rFonts w:ascii="Times New Roman" w:hAnsi="Times New Roman" w:cs="Times New Roman"/>
        </w:rPr>
        <w:t xml:space="preserve"> is most commonly used in reference to post-verbal referents, although this preference is also modulated by syntactic role. </w:t>
      </w:r>
    </w:p>
    <w:p w14:paraId="3F3A2B32" w14:textId="124393AC" w:rsidR="008615B4" w:rsidRPr="006A5C55" w:rsidRDefault="00C03CB1" w:rsidP="008615B4">
      <w:pPr>
        <w:pStyle w:val="body"/>
        <w:rPr>
          <w:rFonts w:ascii="Times New Roman" w:hAnsi="Times New Roman" w:cs="Times New Roman"/>
        </w:rPr>
      </w:pPr>
      <w:r>
        <w:rPr>
          <w:rFonts w:ascii="Times New Roman" w:hAnsi="Times New Roman" w:cs="Times New Roman"/>
        </w:rPr>
        <w:t>Of particular relevance to the current work, Fil</w:t>
      </w:r>
      <w:r w:rsidR="00F55A91">
        <w:rPr>
          <w:rFonts w:ascii="Times New Roman" w:hAnsi="Times New Roman" w:cs="Times New Roman"/>
        </w:rPr>
        <w:t>i</w:t>
      </w:r>
      <w:r>
        <w:rPr>
          <w:rFonts w:ascii="Times New Roman" w:hAnsi="Times New Roman" w:cs="Times New Roman"/>
        </w:rPr>
        <w:t xml:space="preserve">aci et al. (2013) demonstrate that while null pronouns show a strong subject bias in both Spanish and Italian, overt pronouns are processed differently, where Italian overt pronouns are more strongly biased toward a non-subject referent than Spanish overt pronouns are. </w:t>
      </w:r>
      <w:r w:rsidR="00574502">
        <w:rPr>
          <w:rFonts w:ascii="Times New Roman" w:hAnsi="Times New Roman" w:cs="Times New Roman"/>
        </w:rPr>
        <w:t>Thus,</w:t>
      </w:r>
      <w:r>
        <w:rPr>
          <w:rFonts w:ascii="Times New Roman" w:hAnsi="Times New Roman" w:cs="Times New Roman"/>
        </w:rPr>
        <w:t xml:space="preserve"> </w:t>
      </w:r>
      <w:r w:rsidR="008615B4" w:rsidRPr="2EBC3AA5">
        <w:rPr>
          <w:rFonts w:ascii="Times New Roman" w:hAnsi="Times New Roman" w:cs="Times New Roman"/>
        </w:rPr>
        <w:t>these results support a multi-dimensional approach, suggesting that different referential forms are constrained by different factors and at varying levels (Fedele &amp; Kaiser, 2015</w:t>
      </w:r>
      <w:r w:rsidR="00D536AD">
        <w:rPr>
          <w:rFonts w:ascii="Times New Roman" w:hAnsi="Times New Roman" w:cs="Times New Roman"/>
        </w:rPr>
        <w:t>;</w:t>
      </w:r>
      <w:r w:rsidR="00D536AD" w:rsidRPr="00D536AD">
        <w:rPr>
          <w:rFonts w:ascii="Times New Roman" w:hAnsi="Times New Roman" w:cs="Times New Roman"/>
        </w:rPr>
        <w:t xml:space="preserve"> </w:t>
      </w:r>
      <w:r>
        <w:rPr>
          <w:rFonts w:ascii="Times New Roman" w:hAnsi="Times New Roman" w:cs="Times New Roman"/>
        </w:rPr>
        <w:t>Fil</w:t>
      </w:r>
      <w:r w:rsidR="00F55A91">
        <w:rPr>
          <w:rFonts w:ascii="Times New Roman" w:hAnsi="Times New Roman" w:cs="Times New Roman"/>
        </w:rPr>
        <w:t>i</w:t>
      </w:r>
      <w:r>
        <w:rPr>
          <w:rFonts w:ascii="Times New Roman" w:hAnsi="Times New Roman" w:cs="Times New Roman"/>
        </w:rPr>
        <w:t xml:space="preserve">aci et al., 2013; </w:t>
      </w:r>
      <w:r w:rsidR="00D536AD">
        <w:rPr>
          <w:rFonts w:ascii="Times New Roman" w:hAnsi="Times New Roman" w:cs="Times New Roman"/>
        </w:rPr>
        <w:t>Kaiser &amp; Trueswell, 2008</w:t>
      </w:r>
      <w:r w:rsidR="008615B4" w:rsidRPr="2EBC3AA5">
        <w:rPr>
          <w:rFonts w:ascii="Times New Roman" w:hAnsi="Times New Roman" w:cs="Times New Roman"/>
        </w:rPr>
        <w:t xml:space="preserve">). Different languages offer different types of referential forms, raising the possibility that different constraints </w:t>
      </w:r>
      <w:r w:rsidR="00987319">
        <w:rPr>
          <w:rFonts w:ascii="Times New Roman" w:hAnsi="Times New Roman" w:cs="Times New Roman"/>
        </w:rPr>
        <w:t>apply cross-linguistically</w:t>
      </w:r>
      <w:r w:rsidR="007B085D">
        <w:rPr>
          <w:rFonts w:ascii="Times New Roman" w:hAnsi="Times New Roman" w:cs="Times New Roman"/>
        </w:rPr>
        <w:t>.</w:t>
      </w:r>
    </w:p>
    <w:p w14:paraId="1C282C2B" w14:textId="0CCCBCEA" w:rsidR="008615B4" w:rsidRPr="001F34B9" w:rsidRDefault="00574502" w:rsidP="00F32CD8">
      <w:pPr>
        <w:pStyle w:val="body"/>
        <w:rPr>
          <w:rFonts w:ascii="Times New Roman" w:hAnsi="Times New Roman" w:cs="Times New Roman"/>
        </w:rPr>
      </w:pPr>
      <w:r>
        <w:rPr>
          <w:rFonts w:ascii="Times New Roman" w:hAnsi="Times New Roman" w:cs="Times New Roman"/>
        </w:rPr>
        <w:t>In sum, t</w:t>
      </w:r>
      <w:r w:rsidR="008615B4" w:rsidRPr="2EBC3AA5">
        <w:rPr>
          <w:rFonts w:ascii="Times New Roman" w:hAnsi="Times New Roman" w:cs="Times New Roman"/>
        </w:rPr>
        <w:t xml:space="preserve">he current study </w:t>
      </w:r>
      <w:r>
        <w:rPr>
          <w:rFonts w:ascii="Times New Roman" w:hAnsi="Times New Roman" w:cs="Times New Roman"/>
        </w:rPr>
        <w:t xml:space="preserve">tests </w:t>
      </w:r>
      <w:r w:rsidR="00FF0ABF">
        <w:rPr>
          <w:rFonts w:ascii="Times New Roman" w:hAnsi="Times New Roman" w:cs="Times New Roman"/>
        </w:rPr>
        <w:t>whether thematic roles affect reference form</w:t>
      </w:r>
      <w:r w:rsidR="008615B4" w:rsidRPr="2EBC3AA5">
        <w:rPr>
          <w:rFonts w:ascii="Times New Roman" w:hAnsi="Times New Roman" w:cs="Times New Roman"/>
        </w:rPr>
        <w:t xml:space="preserve"> in Spanish, </w:t>
      </w:r>
      <w:r w:rsidR="00F32CD8">
        <w:rPr>
          <w:rFonts w:ascii="Times New Roman" w:hAnsi="Times New Roman" w:cs="Times New Roman"/>
        </w:rPr>
        <w:t>which is relevant for shaping theories of reference production generally, given that some theories have either focused exclusively on structural constraints, or even explicitly claimed that thematic roles have no effec</w:t>
      </w:r>
      <w:r w:rsidR="00245DA2">
        <w:rPr>
          <w:rFonts w:ascii="Times New Roman" w:hAnsi="Times New Roman" w:cs="Times New Roman"/>
        </w:rPr>
        <w:t xml:space="preserve">t (e.g., </w:t>
      </w:r>
      <w:r w:rsidR="00245DA2" w:rsidRPr="2EBC3AA5">
        <w:rPr>
          <w:rFonts w:cstheme="minorBidi"/>
          <w:color w:val="000000" w:themeColor="text1"/>
        </w:rPr>
        <w:t xml:space="preserve">Fukumura &amp; van </w:t>
      </w:r>
      <w:r w:rsidR="00245DA2" w:rsidRPr="00D011E8">
        <w:rPr>
          <w:rFonts w:cstheme="minorBidi"/>
          <w:color w:val="000000" w:themeColor="text1"/>
        </w:rPr>
        <w:t xml:space="preserve">Gompel, 2010; </w:t>
      </w:r>
      <w:r w:rsidR="00245DA2" w:rsidRPr="00D011E8">
        <w:t>Kehler et al., 2008; Kehler &amp; Rohde, 2013; Rohde</w:t>
      </w:r>
      <w:r w:rsidR="00245DA2">
        <w:t xml:space="preserve"> &amp; Kehler, 2014)</w:t>
      </w:r>
      <w:r w:rsidR="00F32CD8">
        <w:rPr>
          <w:rFonts w:ascii="Times New Roman" w:hAnsi="Times New Roman" w:cs="Times New Roman"/>
        </w:rPr>
        <w:t>. It is also relevant for understanding the extent to which reference form production is similar across languages. We test th</w:t>
      </w:r>
      <w:r>
        <w:rPr>
          <w:rFonts w:ascii="Times New Roman" w:hAnsi="Times New Roman" w:cs="Times New Roman"/>
        </w:rPr>
        <w:t>ese</w:t>
      </w:r>
      <w:r w:rsidR="00F32CD8">
        <w:rPr>
          <w:rFonts w:ascii="Times New Roman" w:hAnsi="Times New Roman" w:cs="Times New Roman"/>
        </w:rPr>
        <w:t xml:space="preserve"> question</w:t>
      </w:r>
      <w:r>
        <w:rPr>
          <w:rFonts w:ascii="Times New Roman" w:hAnsi="Times New Roman" w:cs="Times New Roman"/>
        </w:rPr>
        <w:t>s</w:t>
      </w:r>
      <w:r w:rsidR="00F32CD8">
        <w:rPr>
          <w:rFonts w:ascii="Times New Roman" w:hAnsi="Times New Roman" w:cs="Times New Roman"/>
        </w:rPr>
        <w:t xml:space="preserve"> by </w:t>
      </w:r>
      <w:r w:rsidR="008615B4" w:rsidRPr="2EBC3AA5">
        <w:rPr>
          <w:rFonts w:ascii="Times New Roman" w:hAnsi="Times New Roman" w:cs="Times New Roman"/>
        </w:rPr>
        <w:t>examining transfer verbs as in (</w:t>
      </w:r>
      <w:r w:rsidR="00B81131">
        <w:rPr>
          <w:rFonts w:ascii="Times New Roman" w:hAnsi="Times New Roman" w:cs="Times New Roman"/>
        </w:rPr>
        <w:t>2</w:t>
      </w:r>
      <w:r w:rsidR="008615B4" w:rsidRPr="2EBC3AA5">
        <w:rPr>
          <w:rFonts w:ascii="Times New Roman" w:hAnsi="Times New Roman" w:cs="Times New Roman"/>
        </w:rPr>
        <w:t>)</w:t>
      </w:r>
      <w:r w:rsidR="00C85017">
        <w:rPr>
          <w:rFonts w:ascii="Times New Roman" w:hAnsi="Times New Roman" w:cs="Times New Roman"/>
        </w:rPr>
        <w:t xml:space="preserve"> in both written (Exp. 1) and spoken (Exp. 2) language.</w:t>
      </w:r>
    </w:p>
    <w:p w14:paraId="4C3328F7" w14:textId="4F25E991" w:rsidR="008615B4" w:rsidRDefault="00B81131" w:rsidP="008615B4">
      <w:pPr>
        <w:pStyle w:val="examples"/>
        <w:ind w:left="720"/>
      </w:pPr>
      <w:r>
        <w:t>2</w:t>
      </w:r>
      <w:r w:rsidR="008615B4">
        <w:t>a.)</w:t>
      </w:r>
      <w:r w:rsidR="008615B4">
        <w:tab/>
      </w:r>
      <w:r w:rsidR="008615B4" w:rsidRPr="007C0C5A">
        <w:t>Lady Mannerly le regaló una pintura de ellos dos a Sir Barnes</w:t>
      </w:r>
      <w:r w:rsidR="008615B4">
        <w:t xml:space="preserve">. </w:t>
      </w:r>
    </w:p>
    <w:p w14:paraId="61B7602C" w14:textId="77777777" w:rsidR="008615B4" w:rsidRDefault="008615B4" w:rsidP="008615B4">
      <w:pPr>
        <w:pStyle w:val="examples"/>
        <w:ind w:left="720" w:firstLine="720"/>
      </w:pPr>
      <w:r>
        <w:t>(Lady Mannerly gave a painting of the two of them to Sir Barnes.)</w:t>
      </w:r>
    </w:p>
    <w:p w14:paraId="52F16D06" w14:textId="14E0E70E" w:rsidR="008615B4" w:rsidRDefault="00B81131" w:rsidP="008615B4">
      <w:pPr>
        <w:pStyle w:val="examples"/>
        <w:ind w:left="720"/>
      </w:pPr>
      <w:r>
        <w:t>2</w:t>
      </w:r>
      <w:r w:rsidR="008615B4">
        <w:t xml:space="preserve">b) </w:t>
      </w:r>
      <w:r w:rsidR="008615B4">
        <w:tab/>
        <w:t>Sir Barnes recibió una pintura de ellos dos de Lady Mannerly.</w:t>
      </w:r>
    </w:p>
    <w:p w14:paraId="12F04E62" w14:textId="77777777" w:rsidR="008615B4" w:rsidRPr="00DC7BE7" w:rsidRDefault="008615B4" w:rsidP="008615B4">
      <w:pPr>
        <w:pStyle w:val="examples"/>
        <w:ind w:left="720" w:firstLine="720"/>
      </w:pPr>
      <w:r>
        <w:t>(Sir Barnes received a painting of the two of them from Lady Mannerly.)</w:t>
      </w:r>
    </w:p>
    <w:p w14:paraId="27FBB8DB" w14:textId="5DEACB67" w:rsidR="008615B4" w:rsidRDefault="008615B4" w:rsidP="008615B4">
      <w:pPr>
        <w:pStyle w:val="body"/>
        <w:ind w:firstLine="0"/>
      </w:pPr>
      <w:r>
        <w:lastRenderedPageBreak/>
        <w:t xml:space="preserve">Here Lady Mannerly is the source of the transfer, and Sir Barnes is the goal.  We control for the grammatical function of the referent by manipulating the verb; in </w:t>
      </w:r>
      <w:r w:rsidR="006F0F91">
        <w:t>2</w:t>
      </w:r>
      <w:r>
        <w:t xml:space="preserve">a the </w:t>
      </w:r>
      <w:r w:rsidR="006F0F91">
        <w:t>source</w:t>
      </w:r>
      <w:r>
        <w:t xml:space="preserve"> is in subject position, and in </w:t>
      </w:r>
      <w:r w:rsidR="006F0F91">
        <w:t>2</w:t>
      </w:r>
      <w:r>
        <w:t xml:space="preserve">b the </w:t>
      </w:r>
      <w:r w:rsidR="006F0F91">
        <w:t>goal</w:t>
      </w:r>
      <w:r>
        <w:t xml:space="preserve"> is in subject position. In both cases the other human character is mentioned </w:t>
      </w:r>
      <w:r w:rsidR="00913921">
        <w:t>second</w:t>
      </w:r>
      <w:r>
        <w:t xml:space="preserve">; for ease of exposition we refer to this position as the nonsubject. </w:t>
      </w:r>
    </w:p>
    <w:p w14:paraId="138A05F0" w14:textId="31CE72BC" w:rsidR="00E67CAF" w:rsidRPr="00E67CAF" w:rsidRDefault="00E67CAF" w:rsidP="00574502">
      <w:pPr>
        <w:pStyle w:val="body"/>
        <w:keepNext/>
        <w:ind w:firstLine="0"/>
        <w:rPr>
          <w:b/>
          <w:bCs/>
          <w:i/>
          <w:iCs/>
        </w:rPr>
      </w:pPr>
      <w:r>
        <w:rPr>
          <w:b/>
          <w:bCs/>
          <w:i/>
          <w:iCs/>
        </w:rPr>
        <w:t>Experimental approach</w:t>
      </w:r>
    </w:p>
    <w:p w14:paraId="33A4DC63" w14:textId="700672CE" w:rsidR="00E67CAF" w:rsidRDefault="00E67CAF" w:rsidP="00E67CAF">
      <w:pPr>
        <w:pStyle w:val="body"/>
        <w:rPr>
          <w:rFonts w:ascii="Times New Roman" w:hAnsi="Times New Roman"/>
        </w:rPr>
      </w:pPr>
      <w:r w:rsidRPr="2EBC3AA5">
        <w:rPr>
          <w:rFonts w:ascii="Times New Roman" w:hAnsi="Times New Roman" w:cs="Times New Roman"/>
        </w:rPr>
        <w:t>We examine</w:t>
      </w:r>
      <w:r w:rsidR="00936700">
        <w:rPr>
          <w:rFonts w:ascii="Times New Roman" w:hAnsi="Times New Roman" w:cs="Times New Roman"/>
        </w:rPr>
        <w:t>d</w:t>
      </w:r>
      <w:r w:rsidRPr="2EBC3AA5">
        <w:rPr>
          <w:rFonts w:ascii="Times New Roman" w:hAnsi="Times New Roman" w:cs="Times New Roman"/>
        </w:rPr>
        <w:t xml:space="preserve"> reference form within a naturalistic narrative paradigm developed by Rosa &amp; Arnold (2017) for English (stimuli available at </w:t>
      </w:r>
      <w:r w:rsidR="00EC4234" w:rsidRPr="00EC4234">
        <w:rPr>
          <w:rFonts w:ascii="Times New Roman" w:hAnsi="Times New Roman" w:cs="Times New Roman"/>
        </w:rPr>
        <w:t>https://jaapstimuli.web.unc.edu/</w:t>
      </w:r>
      <w:r w:rsidR="00EC4234">
        <w:rPr>
          <w:rFonts w:ascii="Times New Roman" w:hAnsi="Times New Roman" w:cs="Times New Roman"/>
        </w:rPr>
        <w:t>).</w:t>
      </w:r>
      <w:r w:rsidRPr="2EBC3AA5">
        <w:rPr>
          <w:rFonts w:ascii="Times New Roman" w:hAnsi="Times New Roman" w:cs="Times New Roman"/>
        </w:rPr>
        <w:t xml:space="preserve"> We involved participants in a role-playing game, where they were assigned the role of a tabloid photographer and instructed to describe the events occurring in a series of pictures. The pictures showcased a Clue-like murder mystery</w:t>
      </w:r>
      <w:r>
        <w:rPr>
          <w:rFonts w:ascii="Times New Roman" w:hAnsi="Times New Roman" w:cs="Times New Roman"/>
        </w:rPr>
        <w:t xml:space="preserve">, and featured the same six participants throughout the study. </w:t>
      </w:r>
      <w:r w:rsidRPr="2EBC3AA5">
        <w:rPr>
          <w:rFonts w:ascii="Times New Roman" w:hAnsi="Times New Roman"/>
        </w:rPr>
        <w:t>There were three main male characters. (Sir Barnes, the chauffeur, and the butler), and three female (Lady Mannerly, the chef, and the maid; see Figure 1).</w:t>
      </w:r>
    </w:p>
    <w:p w14:paraId="4ABAF266" w14:textId="77777777" w:rsidR="00E67CAF" w:rsidRDefault="00E67CAF" w:rsidP="00E67CAF">
      <w:pPr>
        <w:pStyle w:val="ListParagraph"/>
        <w:spacing w:line="480" w:lineRule="auto"/>
        <w:ind w:firstLine="720"/>
        <w:rPr>
          <w:rFonts w:ascii="Times New Roman" w:hAnsi="Times New Roman"/>
          <w:sz w:val="24"/>
          <w:szCs w:val="24"/>
        </w:rPr>
      </w:pPr>
    </w:p>
    <w:p w14:paraId="00F219C9" w14:textId="77777777" w:rsidR="00E67CAF" w:rsidRDefault="00E67CAF" w:rsidP="00E67CAF">
      <w:pPr>
        <w:pStyle w:val="examples"/>
      </w:pPr>
      <w:r>
        <w:rPr>
          <w:lang w:val="it-IT" w:eastAsia="it-IT" w:bidi="bn-BD"/>
        </w:rPr>
        <w:drawing>
          <wp:inline distT="0" distB="0" distL="0" distR="0" wp14:anchorId="768FE2DE" wp14:editId="08FF526B">
            <wp:extent cx="3810000" cy="2857500"/>
            <wp:effectExtent l="0" t="0" r="0" b="0"/>
            <wp:docPr id="4" name="Picture 4" descr="icture cop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cop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2D3E89E" w14:textId="77777777" w:rsidR="00E67CAF" w:rsidRDefault="00E67CAF" w:rsidP="00E67CAF">
      <w:pPr>
        <w:pStyle w:val="examples"/>
      </w:pPr>
      <w:r>
        <w:t>Figure 1. Characters in the event-retelling paradigm (from left-to-right: The butler and the maid, Sir Barnes, the chef, Lady Mannerly, the chauffeur).</w:t>
      </w:r>
    </w:p>
    <w:p w14:paraId="01E13959" w14:textId="77777777" w:rsidR="00E67CAF" w:rsidRDefault="00E67CAF" w:rsidP="00E67CAF">
      <w:pPr>
        <w:pStyle w:val="body"/>
        <w:rPr>
          <w:rFonts w:ascii="Times New Roman" w:hAnsi="Times New Roman" w:cs="Times New Roman"/>
        </w:rPr>
      </w:pPr>
      <w:r w:rsidRPr="2EBC3AA5">
        <w:rPr>
          <w:rFonts w:ascii="Times New Roman" w:hAnsi="Times New Roman" w:cs="Times New Roman"/>
        </w:rPr>
        <w:lastRenderedPageBreak/>
        <w:t>The aim of this paradigm was to engage participants and provide a rich discour</w:t>
      </w:r>
      <w:r>
        <w:rPr>
          <w:rFonts w:ascii="Times New Roman" w:hAnsi="Times New Roman" w:cs="Times New Roman"/>
        </w:rPr>
        <w:t>se context, which was hypothesiz</w:t>
      </w:r>
      <w:r w:rsidRPr="2EBC3AA5">
        <w:rPr>
          <w:rFonts w:ascii="Times New Roman" w:hAnsi="Times New Roman" w:cs="Times New Roman"/>
        </w:rPr>
        <w:t xml:space="preserve">ed to strengthen their representations of discourse status. </w:t>
      </w:r>
      <w:r>
        <w:rPr>
          <w:rFonts w:ascii="Times New Roman" w:hAnsi="Times New Roman" w:cs="Times New Roman"/>
        </w:rPr>
        <w:t>Thus, participants saw a series of experimental items, consisting of a pair of pictures and a prompt. This maintained the item-level control that is typical of psycholinguistic experiments. However, an innovation of this task was that the items together told a story about a small set of characters for the purpose of establishing the kind of rich discourse context that is typical of natural language. For further motivation of this task see Rosa &amp; Arnold (2017).</w:t>
      </w:r>
    </w:p>
    <w:p w14:paraId="03F57EE0" w14:textId="2B344ECD" w:rsidR="008615B4" w:rsidRDefault="008615B4" w:rsidP="008615B4">
      <w:pPr>
        <w:pStyle w:val="body"/>
      </w:pPr>
      <w:r>
        <w:t>One potential concern for our study is the variability across dial</w:t>
      </w:r>
      <w:r w:rsidRPr="007C7D75">
        <w:rPr>
          <w:color w:val="000000" w:themeColor="text1"/>
        </w:rPr>
        <w:t>ects</w:t>
      </w:r>
      <w:r>
        <w:rPr>
          <w:color w:val="000000" w:themeColor="text1"/>
        </w:rPr>
        <w:t xml:space="preserve">, given that overt pronouns are more common in some dialects or regions than others </w:t>
      </w:r>
      <w:r>
        <w:t>(Lipski, 2002;</w:t>
      </w:r>
      <w:r w:rsidR="00EF7578">
        <w:rPr>
          <w:shd w:val="clear" w:color="auto" w:fill="FFFFFF"/>
        </w:rPr>
        <w:t xml:space="preserve"> Otheguy,</w:t>
      </w:r>
      <w:r w:rsidR="00EF7578" w:rsidRPr="00BF7DD3">
        <w:rPr>
          <w:color w:val="000000" w:themeColor="text1"/>
          <w:highlight w:val="cyan"/>
          <w:shd w:val="clear" w:color="auto" w:fill="FFFFFF"/>
        </w:rPr>
        <w:t xml:space="preserve"> </w:t>
      </w:r>
      <w:r w:rsidR="00EF7578" w:rsidRPr="00EF7578">
        <w:rPr>
          <w:color w:val="000000" w:themeColor="text1"/>
          <w:shd w:val="clear" w:color="auto" w:fill="FFFFFF"/>
        </w:rPr>
        <w:t xml:space="preserve">Zentella, &amp; Livert, </w:t>
      </w:r>
      <w:r w:rsidR="00EF7578">
        <w:rPr>
          <w:shd w:val="clear" w:color="auto" w:fill="FFFFFF"/>
        </w:rPr>
        <w:t>2007</w:t>
      </w:r>
      <w:r>
        <w:t xml:space="preserve">; </w:t>
      </w:r>
      <w:r>
        <w:rPr>
          <w:shd w:val="clear" w:color="auto" w:fill="FFFFFF"/>
        </w:rPr>
        <w:t>Pešková, 2013)</w:t>
      </w:r>
      <w:r>
        <w:t>. Typically, varieties of Spanish that use more verbal inflection, such as Spanish from Spain and Mexico, produce overt subject pronouns at a less frequent rate than Caribbean dialects, for example (Lipski, 2002;</w:t>
      </w:r>
      <w:r>
        <w:rPr>
          <w:shd w:val="clear" w:color="auto" w:fill="FFFFFF"/>
        </w:rPr>
        <w:t xml:space="preserve"> Pešková, 2013</w:t>
      </w:r>
      <w:r>
        <w:t>). Moreover, it is unclear if the use of overt pronouns is controlled by the same semantic conditions in different Spanish dialects. Both of our studies include speakers from multiple geographic regions, so we also provide secondary analyses that examine only those participants who produced one or more overt pronoun.</w:t>
      </w:r>
    </w:p>
    <w:p w14:paraId="7C10FDF6" w14:textId="0DF06CEA" w:rsidR="008615B4" w:rsidRPr="00A5312F" w:rsidRDefault="008615B4" w:rsidP="008615B4">
      <w:pPr>
        <w:pStyle w:val="body"/>
        <w:rPr>
          <w:color w:val="000000" w:themeColor="text1"/>
        </w:rPr>
      </w:pPr>
      <w:r>
        <w:t xml:space="preserve">Another challenge for our experiment was the issue of bilingualism. While the participants of our online experiment all resided in Spanish-speaking countries, participants in </w:t>
      </w:r>
      <w:r w:rsidR="00BC098D">
        <w:t>E</w:t>
      </w:r>
      <w:r>
        <w:t xml:space="preserve">xperiment 2 </w:t>
      </w:r>
      <w:r w:rsidR="00575F93">
        <w:t xml:space="preserve">generally </w:t>
      </w:r>
      <w:r>
        <w:t xml:space="preserve">resided in the United States, and thus many of them spoke English or another language. Previous research suggests that children who are learning a null-subject language (like Spanish or Italian) at the same time as an overt subject language (like English) often overuse </w:t>
      </w:r>
      <w:r w:rsidR="00A13E88">
        <w:t xml:space="preserve">overt </w:t>
      </w:r>
      <w:r>
        <w:t>pronouns (Serratrice, 2008).  Other research suggests that contact with English and generational differences among Spanish speakers living in the United States</w:t>
      </w:r>
      <w:r w:rsidR="00E62E20">
        <w:t xml:space="preserve"> can lead</w:t>
      </w:r>
      <w:r>
        <w:t xml:space="preserve"> to changes in Spanish pronoun </w:t>
      </w:r>
      <w:r w:rsidR="00EF7578">
        <w:t>production (Otheguy et al., 2007</w:t>
      </w:r>
      <w:r>
        <w:t xml:space="preserve">). In a related phenomenon, Basque-Spanish bilinguals were more likely to use null object pronouns than </w:t>
      </w:r>
      <w:r>
        <w:lastRenderedPageBreak/>
        <w:t>Spanish monolinguals (</w:t>
      </w:r>
      <w:r>
        <w:rPr>
          <w:color w:val="000000" w:themeColor="text1"/>
          <w:shd w:val="clear" w:color="auto" w:fill="FFFFFF"/>
        </w:rPr>
        <w:t xml:space="preserve">Sainzmaza-Lecanda &amp; Schwenter, 2017). Since bilingualism is not the focus of the current study, we took steps to ensure that our participant samples were dominant Spanish speakers. </w:t>
      </w:r>
      <w:r>
        <w:t xml:space="preserve">In Experiment 2, we restricted our sample </w:t>
      </w:r>
      <w:r>
        <w:rPr>
          <w:color w:val="000000" w:themeColor="text1"/>
          <w:shd w:val="clear" w:color="auto" w:fill="FFFFFF"/>
        </w:rPr>
        <w:t xml:space="preserve">to only those people who had lived in a Spanish-speaking country until age 16, to ensure that all speakers were native speakers. </w:t>
      </w:r>
      <w:r>
        <w:t>Although the subjects in Experiment 2 likely also had extensive English exposure, the participants in Experiment 1 were all in Spanish-speaking countries at the time of their participation.</w:t>
      </w:r>
    </w:p>
    <w:p w14:paraId="32EBB51D" w14:textId="402DD3BE" w:rsidR="008615B4" w:rsidRDefault="008615B4" w:rsidP="008615B4">
      <w:pPr>
        <w:pStyle w:val="Heading1"/>
      </w:pPr>
      <w:r>
        <w:t>Experiment 1</w:t>
      </w:r>
    </w:p>
    <w:p w14:paraId="178FDEFF" w14:textId="3934168C" w:rsidR="008615B4" w:rsidRPr="00845201" w:rsidRDefault="008615B4" w:rsidP="008615B4">
      <w:pPr>
        <w:pStyle w:val="Heading2"/>
      </w:pPr>
      <w:r>
        <w:t>Methods</w:t>
      </w:r>
    </w:p>
    <w:p w14:paraId="48DE5A5B" w14:textId="77777777" w:rsidR="002D2F34" w:rsidRPr="00B57015" w:rsidRDefault="002D2F34" w:rsidP="002D2F34">
      <w:pPr>
        <w:pStyle w:val="Heading3"/>
      </w:pPr>
      <w:r>
        <w:t>Participants</w:t>
      </w:r>
    </w:p>
    <w:p w14:paraId="153D1E2C" w14:textId="09E91340" w:rsidR="002D2F34" w:rsidRDefault="002D2F34" w:rsidP="002D2F34">
      <w:pPr>
        <w:pStyle w:val="body"/>
        <w:rPr>
          <w:rStyle w:val="normaltextrun"/>
        </w:rPr>
      </w:pPr>
      <w:r>
        <w:rPr>
          <w:rStyle w:val="normaltextrun"/>
        </w:rPr>
        <w:t xml:space="preserve">78 individuals participated in a one-hour online Spanish experiment posted on Amazon Mechanical Turk. Three additional submissions were ignored because they came from the same IP address as another submission. Each individual received $1 for their participation. Participation was restricted </w:t>
      </w:r>
      <w:r w:rsidRPr="00E72739">
        <w:rPr>
          <w:rStyle w:val="normaltextrun"/>
        </w:rPr>
        <w:t>to individuals with IP addresses from countries</w:t>
      </w:r>
      <w:r>
        <w:rPr>
          <w:rStyle w:val="normaltextrun"/>
        </w:rPr>
        <w:t xml:space="preserve"> </w:t>
      </w:r>
      <w:r w:rsidRPr="00E72739">
        <w:rPr>
          <w:rStyle w:val="normaltextrun"/>
        </w:rPr>
        <w:t>or territories with Spanish as the official language. IP addresses from 15 different countries were represented in the final data set</w:t>
      </w:r>
      <w:r>
        <w:rPr>
          <w:rStyle w:val="EndnoteReference"/>
        </w:rPr>
        <w:endnoteReference w:id="1"/>
      </w:r>
      <w:r w:rsidRPr="00E72739">
        <w:rPr>
          <w:rStyle w:val="normaltextrun"/>
        </w:rPr>
        <w:t>.</w:t>
      </w:r>
      <w:r>
        <w:rPr>
          <w:rStyle w:val="normaltextrun"/>
        </w:rPr>
        <w:t xml:space="preserve">  </w:t>
      </w:r>
    </w:p>
    <w:p w14:paraId="64BB441E" w14:textId="65493091" w:rsidR="002D2F34" w:rsidRDefault="002D2F34" w:rsidP="006510CF">
      <w:pPr>
        <w:pStyle w:val="body"/>
        <w:rPr>
          <w:rStyle w:val="normaltextrun"/>
        </w:rPr>
      </w:pPr>
      <w:r w:rsidRPr="00E72739">
        <w:rPr>
          <w:rStyle w:val="normaltextrun"/>
        </w:rPr>
        <w:t>3</w:t>
      </w:r>
      <w:r>
        <w:rPr>
          <w:rStyle w:val="normaltextrun"/>
        </w:rPr>
        <w:t>5</w:t>
      </w:r>
      <w:r w:rsidRPr="00E72739">
        <w:rPr>
          <w:rStyle w:val="normaltextrun"/>
        </w:rPr>
        <w:t xml:space="preserve"> participants were excluded from analysis. Our first criterion was that participants needed to have at least 2 trials with reduced expressions (grouping null and overt pronouns together for this constraint), and at least 2 with </w:t>
      </w:r>
      <w:r w:rsidRPr="00E72739">
        <w:rPr>
          <w:lang w:eastAsia="ja-JP"/>
        </w:rPr>
        <w:t>name/descriptions</w:t>
      </w:r>
      <w:r w:rsidR="006510CF">
        <w:rPr>
          <w:rStyle w:val="normaltextrun"/>
        </w:rPr>
        <w:t xml:space="preserve">. </w:t>
      </w:r>
      <w:r w:rsidR="006510CF">
        <w:t>We know that there is individual variability in the tendency to use reduced forms in this paradigm (Zerkle &amp; Arnold,</w:t>
      </w:r>
      <w:r w:rsidR="00676DF7">
        <w:t xml:space="preserve"> 2017a, </w:t>
      </w:r>
      <w:r w:rsidR="006510CF">
        <w:t>201</w:t>
      </w:r>
      <w:r w:rsidR="00676DF7">
        <w:t>9</w:t>
      </w:r>
      <w:r w:rsidR="006510CF">
        <w:t xml:space="preserve">), where some participants pick a single reference form and stick with it for the entire experiment. We therefore limited our analysis to only those participants who used at least 2 reduced expressions (either null or overt pronouns), which ensures that our sample includes adequate variation to test our hypotheses  </w:t>
      </w:r>
      <w:r w:rsidR="006510CF" w:rsidRPr="006510CF">
        <w:t xml:space="preserve">(for a similar convention, see </w:t>
      </w:r>
      <w:r w:rsidR="006510CF" w:rsidRPr="006510CF">
        <w:lastRenderedPageBreak/>
        <w:t>Buschkuehl, Hernandez-Garcia, Jaeggi, Bernard, &amp; Jonides, 2014; Filmer, Mattingley, &amp; Dux, 2015),</w:t>
      </w:r>
      <w:r w:rsidR="006510CF">
        <w:t xml:space="preserve"> </w:t>
      </w:r>
      <w:r w:rsidRPr="00C22203">
        <w:rPr>
          <w:rStyle w:val="normaltextrun"/>
        </w:rPr>
        <w:t>We excluded 2</w:t>
      </w:r>
      <w:r>
        <w:rPr>
          <w:rStyle w:val="normaltextrun"/>
        </w:rPr>
        <w:t xml:space="preserve">5 </w:t>
      </w:r>
      <w:r w:rsidRPr="00C22203">
        <w:rPr>
          <w:rStyle w:val="normaltextrun"/>
        </w:rPr>
        <w:t xml:space="preserve">participants who used only </w:t>
      </w:r>
      <w:r w:rsidRPr="00C22203">
        <w:rPr>
          <w:lang w:eastAsia="ja-JP"/>
        </w:rPr>
        <w:t xml:space="preserve">name/descriptions on all critical trials, and 5 who used only one reduced form. </w:t>
      </w:r>
      <w:r>
        <w:rPr>
          <w:rStyle w:val="normaltextrun"/>
        </w:rPr>
        <w:t>4</w:t>
      </w:r>
      <w:r w:rsidRPr="00C22203">
        <w:rPr>
          <w:rStyle w:val="normaltextrun"/>
        </w:rPr>
        <w:t xml:space="preserve"> participants were excluded because fewer than 50% of their critical trials were usable (e.g., some participants re-wrote the prompt sentence, or produced ungrammatical or inappropriate responses).</w:t>
      </w:r>
      <w:r w:rsidRPr="00951D3B">
        <w:rPr>
          <w:rStyle w:val="normaltextrun"/>
        </w:rPr>
        <w:t xml:space="preserve"> 1 participant from New York </w:t>
      </w:r>
      <w:r>
        <w:rPr>
          <w:rStyle w:val="normaltextrun"/>
        </w:rPr>
        <w:t>did not fit our eligibility criteria</w:t>
      </w:r>
      <w:r w:rsidRPr="00951D3B">
        <w:rPr>
          <w:rStyle w:val="normaltextrun"/>
        </w:rPr>
        <w:t>. 43 participants were included in the analysis, 22 from List A and 21 from List B.</w:t>
      </w:r>
      <w:r>
        <w:rPr>
          <w:rStyle w:val="normaltextrun"/>
        </w:rPr>
        <w:t xml:space="preserve"> </w:t>
      </w:r>
    </w:p>
    <w:p w14:paraId="592AC552" w14:textId="3A60586D" w:rsidR="008615B4" w:rsidRDefault="008615B4" w:rsidP="008615B4">
      <w:pPr>
        <w:pStyle w:val="Heading3"/>
      </w:pPr>
      <w:r>
        <w:t>Materials and Design</w:t>
      </w:r>
    </w:p>
    <w:p w14:paraId="010E02D4" w14:textId="131090D8" w:rsidR="00DC487B" w:rsidRPr="00447B91" w:rsidRDefault="00DC487B" w:rsidP="00DC487B">
      <w:pPr>
        <w:pStyle w:val="body"/>
      </w:pPr>
      <w:r>
        <w:t xml:space="preserve">In the main task, participants viewed pairs of picture, where the first picture was accompanied by a written sentence. They were instructed to read the first sentence of each pair and provide a written continuation that described what was occurring in the second image. </w:t>
      </w:r>
      <w:r>
        <w:rPr>
          <w:rStyle w:val="normaltextrun"/>
        </w:rPr>
        <w:t xml:space="preserve">They viewed two pictures like the ones shown in </w:t>
      </w:r>
      <w:r>
        <w:rPr>
          <w:iCs/>
        </w:rPr>
        <w:t xml:space="preserve">Figure 2 </w:t>
      </w:r>
      <w:r>
        <w:t>below.</w:t>
      </w:r>
      <w:r w:rsidRPr="00447B91">
        <w:rPr>
          <w:noProof/>
          <w:lang w:val="it-IT" w:eastAsia="it-IT" w:bidi="bn-BD"/>
        </w:rPr>
        <w:drawing>
          <wp:inline distT="0" distB="0" distL="0" distR="0" wp14:anchorId="4C58688E" wp14:editId="76AFDA83">
            <wp:extent cx="5600700" cy="2781300"/>
            <wp:effectExtent l="0" t="0" r="12700" b="12700"/>
            <wp:docPr id="1" name="Picture 1" descr="A group of people in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2781300"/>
                    </a:xfrm>
                    <a:prstGeom prst="rect">
                      <a:avLst/>
                    </a:prstGeom>
                    <a:noFill/>
                    <a:ln>
                      <a:noFill/>
                    </a:ln>
                  </pic:spPr>
                </pic:pic>
              </a:graphicData>
            </a:graphic>
          </wp:inline>
        </w:drawing>
      </w:r>
    </w:p>
    <w:p w14:paraId="118F2EE6" w14:textId="77777777" w:rsidR="00DC487B" w:rsidRPr="00447B91" w:rsidRDefault="00DC487B" w:rsidP="00DC487B">
      <w:pPr>
        <w:pStyle w:val="examples"/>
        <w:rPr>
          <w:rStyle w:val="normaltextrun"/>
        </w:rPr>
      </w:pPr>
      <w:r w:rsidRPr="00447B91">
        <w:t xml:space="preserve">Figure </w:t>
      </w:r>
      <w:r>
        <w:t>2</w:t>
      </w:r>
      <w:r w:rsidRPr="00447B91">
        <w:t xml:space="preserve">. Sample trial. </w:t>
      </w:r>
    </w:p>
    <w:p w14:paraId="3D06E3A8" w14:textId="2F061FCA" w:rsidR="00DC487B" w:rsidRDefault="00DC487B" w:rsidP="00A079A3">
      <w:pPr>
        <w:pStyle w:val="body"/>
        <w:rPr>
          <w:rStyle w:val="normaltextrun"/>
        </w:rPr>
      </w:pPr>
      <w:r w:rsidRPr="2EBC3AA5">
        <w:rPr>
          <w:rStyle w:val="normaltextrun"/>
        </w:rPr>
        <w:t xml:space="preserve">The pictures together told a story about six characters (Sir Barnes, Lady Mannerly, the chef, the chauffeur, the butler, and the maid). There were 53 trials in total, 24 of which were critical trials. </w:t>
      </w:r>
      <w:r w:rsidR="00A079A3">
        <w:rPr>
          <w:rFonts w:ascii="Times New Roman" w:hAnsi="Times New Roman"/>
        </w:rPr>
        <w:t>Critical trials had</w:t>
      </w:r>
      <w:r w:rsidR="00A079A3" w:rsidRPr="2EBC3AA5">
        <w:rPr>
          <w:rFonts w:ascii="Times New Roman" w:hAnsi="Times New Roman"/>
        </w:rPr>
        <w:t xml:space="preserve"> images </w:t>
      </w:r>
      <w:r w:rsidR="00A079A3">
        <w:rPr>
          <w:rFonts w:ascii="Times New Roman" w:hAnsi="Times New Roman"/>
        </w:rPr>
        <w:t>depicting actions with</w:t>
      </w:r>
      <w:r w:rsidR="00A079A3" w:rsidRPr="2EBC3AA5">
        <w:rPr>
          <w:rFonts w:ascii="Times New Roman" w:hAnsi="Times New Roman"/>
        </w:rPr>
        <w:t xml:space="preserve"> two of the characters. </w:t>
      </w:r>
      <w:r w:rsidR="00A079A3">
        <w:lastRenderedPageBreak/>
        <w:t>F</w:t>
      </w:r>
      <w:r w:rsidR="00A079A3" w:rsidRPr="2EBC3AA5">
        <w:rPr>
          <w:rFonts w:ascii="Times New Roman" w:hAnsi="Times New Roman"/>
        </w:rPr>
        <w:t xml:space="preserve">iller trials described events occurring between one to three characters. </w:t>
      </w:r>
      <w:r w:rsidRPr="2EBC3AA5">
        <w:rPr>
          <w:rStyle w:val="normaltextrun"/>
        </w:rPr>
        <w:t>Participants were exposed to one of two lists, either List A or List B. In both lists, participants saw the same illustrations, but read one of two versions of the given sentence.</w:t>
      </w:r>
      <w:r>
        <w:rPr>
          <w:rStyle w:val="normaltextrun"/>
        </w:rPr>
        <w:t xml:space="preserve"> Materials for this experiment are available at </w:t>
      </w:r>
      <w:r w:rsidRPr="000B2142">
        <w:rPr>
          <w:rStyle w:val="normaltextrun"/>
        </w:rPr>
        <w:t>https://</w:t>
      </w:r>
      <w:r w:rsidR="0007294C">
        <w:rPr>
          <w:rStyle w:val="normaltextrun"/>
        </w:rPr>
        <w:t>....</w:t>
      </w:r>
    </w:p>
    <w:p w14:paraId="18FE606D" w14:textId="7915725F" w:rsidR="00D84B15" w:rsidRDefault="00C637EC" w:rsidP="00A079A3">
      <w:pPr>
        <w:pStyle w:val="body"/>
        <w:rPr>
          <w:rStyle w:val="normaltextrun"/>
        </w:rPr>
      </w:pPr>
      <w:r>
        <w:rPr>
          <w:rStyle w:val="normaltextrun"/>
        </w:rPr>
        <w:t>Each of the critical trials depicted a transfer event with a goal and source character. Half of these (n=12) showed the goal character doing something in the second picture, these were termed “goal continuation” items. The “source continuation” items</w:t>
      </w:r>
      <w:r w:rsidR="004D0DF6">
        <w:rPr>
          <w:rStyle w:val="normaltextrun"/>
        </w:rPr>
        <w:t xml:space="preserve"> (n=12)</w:t>
      </w:r>
      <w:r>
        <w:rPr>
          <w:rStyle w:val="normaltextrun"/>
        </w:rPr>
        <w:t xml:space="preserve"> showed the source character doing something in the second picture. Thus, source vs. goal continuation was manipulated between items. Within each item we manipulated the form of the first sentence to determine whether the goal or source was in subject position; see Table </w:t>
      </w:r>
      <w:r w:rsidR="00BF5375">
        <w:rPr>
          <w:rStyle w:val="normaltextrun"/>
        </w:rPr>
        <w:t>1</w:t>
      </w:r>
      <w:r>
        <w:rPr>
          <w:rStyle w:val="normaltextrun"/>
        </w:rPr>
        <w:t>.</w:t>
      </w:r>
    </w:p>
    <w:p w14:paraId="65E2A94F" w14:textId="77777777" w:rsidR="00F24F1C" w:rsidRDefault="00F24F1C" w:rsidP="00F24F1C">
      <w:pPr>
        <w:pStyle w:val="body"/>
        <w:ind w:firstLine="0"/>
        <w:rPr>
          <w:rStyle w:val="normaltextrun"/>
        </w:rPr>
      </w:pPr>
    </w:p>
    <w:p w14:paraId="0502AE97" w14:textId="73C78E4B" w:rsidR="00C637EC" w:rsidRPr="00EF76FF" w:rsidRDefault="00C637EC" w:rsidP="00E03AF5">
      <w:pPr>
        <w:pStyle w:val="body"/>
        <w:pBdr>
          <w:top w:val="single" w:sz="4" w:space="1" w:color="auto"/>
        </w:pBdr>
        <w:ind w:firstLine="0"/>
        <w:rPr>
          <w:rStyle w:val="normaltextrun"/>
        </w:rPr>
      </w:pPr>
      <w:r w:rsidRPr="00EF76FF">
        <w:rPr>
          <w:rStyle w:val="normaltextrun"/>
        </w:rPr>
        <w:t xml:space="preserve">Table </w:t>
      </w:r>
      <w:r w:rsidR="004D0DF6">
        <w:rPr>
          <w:rStyle w:val="normaltextrun"/>
        </w:rPr>
        <w:t>1</w:t>
      </w:r>
      <w:r w:rsidRPr="00EF76FF">
        <w:rPr>
          <w:rStyle w:val="normaltextrun"/>
        </w:rPr>
        <w:t>. Example stimuli</w:t>
      </w:r>
    </w:p>
    <w:p w14:paraId="57C1A8E4" w14:textId="4F917557" w:rsidR="00F24F1C" w:rsidRPr="00EF76FF" w:rsidRDefault="00F24F1C" w:rsidP="00F24F1C">
      <w:pPr>
        <w:spacing w:line="240" w:lineRule="auto"/>
        <w:rPr>
          <w:rFonts w:ascii="Times" w:hAnsi="Times" w:cs="Calibri"/>
          <w:color w:val="000000"/>
          <w:lang w:val="en-US" w:eastAsia="en-US"/>
        </w:rPr>
      </w:pPr>
      <w:r w:rsidRPr="00EF76FF">
        <w:rPr>
          <w:rFonts w:ascii="Times" w:hAnsi="Times" w:cs="Calibri"/>
          <w:color w:val="000000"/>
          <w:lang w:val="en-US" w:eastAsia="en-US"/>
        </w:rPr>
        <w:t>Goal continuation example (picture 2 shows Sir Barnes throwing the painting in the closet)</w:t>
      </w:r>
    </w:p>
    <w:p w14:paraId="75611466" w14:textId="148525C2" w:rsidR="00F24F1C" w:rsidRPr="00EF76FF" w:rsidRDefault="00F24F1C" w:rsidP="00C637EC">
      <w:pPr>
        <w:spacing w:line="240" w:lineRule="auto"/>
        <w:rPr>
          <w:rFonts w:ascii="Times" w:hAnsi="Times" w:cs="Calibri"/>
          <w:color w:val="000000"/>
          <w:lang w:val="en-US" w:eastAsia="en-US"/>
        </w:rPr>
      </w:pPr>
      <w:r w:rsidRPr="00EF76FF">
        <w:rPr>
          <w:rFonts w:ascii="Times" w:hAnsi="Times" w:cs="Calibri"/>
          <w:color w:val="000000"/>
          <w:lang w:val="en-US" w:eastAsia="en-US"/>
        </w:rPr>
        <w:t>Source-goal verb:</w:t>
      </w:r>
    </w:p>
    <w:p w14:paraId="4625230F" w14:textId="22000233" w:rsidR="00C637EC" w:rsidRPr="00EF76FF" w:rsidRDefault="00C637EC" w:rsidP="00F24F1C">
      <w:pPr>
        <w:spacing w:line="240" w:lineRule="auto"/>
        <w:ind w:firstLine="720"/>
        <w:rPr>
          <w:rFonts w:ascii="Times" w:hAnsi="Times" w:cs="Calibri"/>
          <w:color w:val="000000"/>
          <w:lang w:val="en-US" w:eastAsia="en-US"/>
        </w:rPr>
      </w:pPr>
      <w:r w:rsidRPr="00C637EC">
        <w:rPr>
          <w:rFonts w:ascii="Times" w:hAnsi="Times" w:cs="Calibri"/>
          <w:color w:val="000000"/>
          <w:lang w:val="en-US" w:eastAsia="en-US"/>
        </w:rPr>
        <w:t>Lady Mannerly le regaló una pintura de ellos dos a Sir Barnes</w:t>
      </w:r>
      <w:r w:rsidR="00F24F1C" w:rsidRPr="00EF76FF">
        <w:rPr>
          <w:rFonts w:ascii="Times" w:hAnsi="Times" w:cs="Calibri"/>
          <w:color w:val="000000"/>
          <w:lang w:val="en-US" w:eastAsia="en-US"/>
        </w:rPr>
        <w:t>.</w:t>
      </w:r>
    </w:p>
    <w:p w14:paraId="68A3FB82" w14:textId="6F672951" w:rsidR="00F24F1C" w:rsidRPr="00EF76FF" w:rsidRDefault="00F24F1C" w:rsidP="00F24F1C">
      <w:pPr>
        <w:spacing w:line="240" w:lineRule="auto"/>
        <w:ind w:firstLine="720"/>
        <w:rPr>
          <w:rFonts w:ascii="Times" w:hAnsi="Times" w:cs="Calibri"/>
          <w:color w:val="000000"/>
          <w:lang w:val="en-US" w:eastAsia="en-US"/>
        </w:rPr>
      </w:pPr>
      <w:r w:rsidRPr="00EF76FF">
        <w:rPr>
          <w:rFonts w:ascii="Times" w:hAnsi="Times" w:cs="Calibri"/>
          <w:color w:val="000000"/>
          <w:lang w:val="en-US" w:eastAsia="en-US"/>
        </w:rPr>
        <w:t>(Lady Mannerly gave a painting of the two of them to Sir Barnes</w:t>
      </w:r>
      <w:r w:rsidR="00EF76FF" w:rsidRPr="00EF76FF">
        <w:rPr>
          <w:rFonts w:ascii="Times" w:hAnsi="Times" w:cs="Calibri"/>
          <w:color w:val="000000"/>
          <w:lang w:val="en-US" w:eastAsia="en-US"/>
        </w:rPr>
        <w:t>.</w:t>
      </w:r>
      <w:r w:rsidRPr="00EF76FF">
        <w:rPr>
          <w:rFonts w:ascii="Times" w:hAnsi="Times" w:cs="Calibri"/>
          <w:color w:val="000000"/>
          <w:lang w:val="en-US" w:eastAsia="en-US"/>
        </w:rPr>
        <w:t>)</w:t>
      </w:r>
    </w:p>
    <w:p w14:paraId="2D2C1CAA" w14:textId="30490262" w:rsidR="00F24F1C" w:rsidRPr="00EF76FF" w:rsidRDefault="00F24F1C" w:rsidP="00F24F1C">
      <w:pPr>
        <w:spacing w:line="240" w:lineRule="auto"/>
        <w:rPr>
          <w:rFonts w:ascii="Times" w:hAnsi="Times" w:cs="Calibri"/>
          <w:color w:val="000000"/>
          <w:lang w:val="en-US" w:eastAsia="en-US"/>
        </w:rPr>
      </w:pPr>
      <w:r w:rsidRPr="00EF76FF">
        <w:rPr>
          <w:rFonts w:ascii="Times" w:hAnsi="Times" w:cs="Calibri"/>
          <w:color w:val="000000"/>
          <w:lang w:val="en-US" w:eastAsia="en-US"/>
        </w:rPr>
        <w:t xml:space="preserve">Goal-source verb: </w:t>
      </w:r>
    </w:p>
    <w:p w14:paraId="02BAEB0F" w14:textId="77777777" w:rsidR="00C637EC" w:rsidRPr="00EF76FF" w:rsidRDefault="00C637EC" w:rsidP="00F24F1C">
      <w:pPr>
        <w:spacing w:line="240" w:lineRule="auto"/>
        <w:ind w:firstLine="720"/>
        <w:rPr>
          <w:rFonts w:ascii="Times" w:hAnsi="Times" w:cs="Calibri"/>
          <w:color w:val="000000"/>
          <w:lang w:val="en-US" w:eastAsia="en-US"/>
        </w:rPr>
      </w:pPr>
      <w:r w:rsidRPr="00C637EC">
        <w:rPr>
          <w:rFonts w:ascii="Times" w:hAnsi="Times" w:cs="Calibri"/>
          <w:color w:val="000000"/>
          <w:lang w:val="en-US" w:eastAsia="en-US"/>
        </w:rPr>
        <w:t>Sir Barnes recibió una pintura de ellos dos de Lady Mannerly.</w:t>
      </w:r>
    </w:p>
    <w:p w14:paraId="2251E38F" w14:textId="63A90997" w:rsidR="00F24F1C" w:rsidRPr="00EF76FF" w:rsidRDefault="00F24F1C" w:rsidP="00F24F1C">
      <w:pPr>
        <w:spacing w:line="240" w:lineRule="auto"/>
        <w:ind w:firstLine="720"/>
        <w:rPr>
          <w:rFonts w:ascii="Times" w:hAnsi="Times" w:cs="Calibri"/>
          <w:color w:val="000000"/>
          <w:lang w:val="en-US" w:eastAsia="en-US"/>
        </w:rPr>
      </w:pPr>
      <w:r w:rsidRPr="00EF76FF">
        <w:rPr>
          <w:rFonts w:ascii="Times" w:hAnsi="Times" w:cs="Calibri"/>
          <w:color w:val="000000"/>
          <w:lang w:val="en-US" w:eastAsia="en-US"/>
        </w:rPr>
        <w:t>(</w:t>
      </w:r>
      <w:r w:rsidR="00EF76FF" w:rsidRPr="00EF76FF">
        <w:rPr>
          <w:rFonts w:ascii="Times" w:hAnsi="Times" w:cs="Calibri"/>
          <w:color w:val="000000"/>
          <w:lang w:val="en-US" w:eastAsia="en-US"/>
        </w:rPr>
        <w:t>Sir Barnes received</w:t>
      </w:r>
      <w:r w:rsidRPr="00EF76FF">
        <w:rPr>
          <w:rFonts w:ascii="Times" w:hAnsi="Times" w:cs="Calibri"/>
          <w:color w:val="000000"/>
          <w:lang w:val="en-US" w:eastAsia="en-US"/>
        </w:rPr>
        <w:t xml:space="preserve"> a painting of the two of them </w:t>
      </w:r>
      <w:r w:rsidR="00EF76FF" w:rsidRPr="00EF76FF">
        <w:rPr>
          <w:rFonts w:ascii="Times" w:hAnsi="Times" w:cs="Calibri"/>
          <w:color w:val="000000"/>
          <w:lang w:val="en-US" w:eastAsia="en-US"/>
        </w:rPr>
        <w:t>from Lady Mannerly.</w:t>
      </w:r>
      <w:r w:rsidRPr="00EF76FF">
        <w:rPr>
          <w:rFonts w:ascii="Times" w:hAnsi="Times" w:cs="Calibri"/>
          <w:color w:val="000000"/>
          <w:lang w:val="en-US" w:eastAsia="en-US"/>
        </w:rPr>
        <w:t>)</w:t>
      </w:r>
    </w:p>
    <w:p w14:paraId="2C17B8B0" w14:textId="7BED3833" w:rsidR="00F24F1C" w:rsidRPr="00EF76FF" w:rsidRDefault="00F24F1C" w:rsidP="00F24F1C">
      <w:pPr>
        <w:spacing w:line="240" w:lineRule="auto"/>
        <w:rPr>
          <w:rFonts w:ascii="Times" w:hAnsi="Times" w:cs="Calibri"/>
          <w:color w:val="000000"/>
          <w:lang w:val="en-US" w:eastAsia="en-US"/>
        </w:rPr>
      </w:pPr>
    </w:p>
    <w:p w14:paraId="5691EB1F" w14:textId="7ABDF20E" w:rsidR="00F24F1C" w:rsidRPr="00EF76FF" w:rsidRDefault="00F24F1C" w:rsidP="00F24F1C">
      <w:pPr>
        <w:spacing w:line="240" w:lineRule="auto"/>
        <w:rPr>
          <w:rFonts w:ascii="Times" w:hAnsi="Times" w:cs="Calibri"/>
          <w:color w:val="000000"/>
          <w:lang w:val="en-US" w:eastAsia="en-US"/>
        </w:rPr>
      </w:pPr>
      <w:r w:rsidRPr="00EF76FF">
        <w:rPr>
          <w:rFonts w:ascii="Times" w:hAnsi="Times" w:cs="Calibri"/>
          <w:color w:val="000000"/>
          <w:lang w:val="en-US" w:eastAsia="en-US"/>
        </w:rPr>
        <w:t xml:space="preserve">Source continuation example (picture 2 shows </w:t>
      </w:r>
      <w:r w:rsidR="00EF76FF" w:rsidRPr="00EF76FF">
        <w:rPr>
          <w:rFonts w:ascii="Times" w:hAnsi="Times" w:cs="Calibri"/>
          <w:color w:val="000000"/>
          <w:lang w:val="en-US" w:eastAsia="en-US"/>
        </w:rPr>
        <w:t>the butler lighting a fire)</w:t>
      </w:r>
    </w:p>
    <w:p w14:paraId="3080BD32" w14:textId="63FBEE02" w:rsidR="00F24F1C" w:rsidRPr="00EF76FF" w:rsidRDefault="00F24F1C" w:rsidP="00F24F1C">
      <w:pPr>
        <w:spacing w:line="240" w:lineRule="auto"/>
        <w:rPr>
          <w:rFonts w:ascii="Times" w:hAnsi="Times" w:cs="Calibri"/>
          <w:color w:val="000000"/>
          <w:lang w:val="en-US" w:eastAsia="en-US"/>
        </w:rPr>
      </w:pPr>
      <w:r w:rsidRPr="00EF76FF">
        <w:rPr>
          <w:rFonts w:ascii="Times" w:hAnsi="Times" w:cs="Calibri"/>
          <w:color w:val="000000"/>
          <w:lang w:val="en-US" w:eastAsia="en-US"/>
        </w:rPr>
        <w:t>Source-goal verb</w:t>
      </w:r>
    </w:p>
    <w:p w14:paraId="6294F673" w14:textId="2514F827" w:rsidR="00C637EC" w:rsidRPr="00EF76FF" w:rsidRDefault="00C637EC" w:rsidP="00EF76FF">
      <w:pPr>
        <w:spacing w:line="240" w:lineRule="auto"/>
        <w:ind w:firstLine="720"/>
        <w:rPr>
          <w:rFonts w:ascii="Times" w:hAnsi="Times" w:cs="Calibri"/>
          <w:color w:val="000000"/>
          <w:lang w:val="en-US" w:eastAsia="en-US"/>
        </w:rPr>
      </w:pPr>
      <w:r w:rsidRPr="00C637EC">
        <w:rPr>
          <w:rFonts w:ascii="Times" w:hAnsi="Times" w:cs="Calibri"/>
          <w:color w:val="000000"/>
          <w:lang w:val="en-US" w:eastAsia="en-US"/>
        </w:rPr>
        <w:t>El mayordomo le sirvió café a la criada.</w:t>
      </w:r>
    </w:p>
    <w:p w14:paraId="707DCEE2" w14:textId="70636644" w:rsidR="00EF76FF" w:rsidRPr="00EF76FF" w:rsidRDefault="00EF76FF" w:rsidP="00F24F1C">
      <w:pPr>
        <w:spacing w:line="240" w:lineRule="auto"/>
        <w:rPr>
          <w:rFonts w:ascii="Times" w:hAnsi="Times" w:cs="Calibri"/>
          <w:color w:val="000000"/>
          <w:lang w:val="en-US" w:eastAsia="en-US"/>
        </w:rPr>
      </w:pPr>
      <w:r w:rsidRPr="00EF76FF">
        <w:rPr>
          <w:rFonts w:ascii="Times" w:hAnsi="Times" w:cs="Calibri"/>
          <w:color w:val="000000"/>
          <w:lang w:val="en-US" w:eastAsia="en-US"/>
        </w:rPr>
        <w:tab/>
        <w:t>(The butler served coffee to the maid.)</w:t>
      </w:r>
    </w:p>
    <w:p w14:paraId="02B6925C" w14:textId="20468C5A" w:rsidR="00F24F1C" w:rsidRPr="00EF76FF" w:rsidRDefault="00F24F1C" w:rsidP="00F24F1C">
      <w:pPr>
        <w:spacing w:line="240" w:lineRule="auto"/>
        <w:rPr>
          <w:rFonts w:ascii="Times" w:hAnsi="Times" w:cs="Calibri"/>
          <w:color w:val="000000"/>
          <w:lang w:val="en-US" w:eastAsia="en-US"/>
        </w:rPr>
      </w:pPr>
      <w:r w:rsidRPr="00EF76FF">
        <w:rPr>
          <w:rFonts w:ascii="Times" w:hAnsi="Times" w:cs="Calibri"/>
          <w:color w:val="000000"/>
          <w:lang w:val="en-US" w:eastAsia="en-US"/>
        </w:rPr>
        <w:t xml:space="preserve">Goal-source verb </w:t>
      </w:r>
    </w:p>
    <w:p w14:paraId="6E8DC7AF" w14:textId="737C59BA" w:rsidR="00C637EC" w:rsidRPr="00EF76FF" w:rsidRDefault="00C637EC" w:rsidP="00EF76FF">
      <w:pPr>
        <w:spacing w:line="240" w:lineRule="auto"/>
        <w:ind w:firstLine="720"/>
        <w:rPr>
          <w:rFonts w:ascii="Times" w:hAnsi="Times" w:cs="Calibri"/>
          <w:color w:val="000000"/>
          <w:lang w:val="en-US" w:eastAsia="en-US"/>
        </w:rPr>
      </w:pPr>
      <w:r w:rsidRPr="00C637EC">
        <w:rPr>
          <w:rFonts w:ascii="Times" w:hAnsi="Times" w:cs="Calibri"/>
          <w:color w:val="000000"/>
          <w:lang w:val="en-US" w:eastAsia="en-US"/>
        </w:rPr>
        <w:t>La criada aceptó un café del mayordomo.</w:t>
      </w:r>
    </w:p>
    <w:p w14:paraId="5300D340" w14:textId="03D72305" w:rsidR="00D84B15" w:rsidRPr="00EF76FF" w:rsidRDefault="00EF76FF" w:rsidP="00E03AF5">
      <w:pPr>
        <w:pStyle w:val="body"/>
        <w:pBdr>
          <w:bottom w:val="single" w:sz="4" w:space="1" w:color="auto"/>
        </w:pBdr>
        <w:rPr>
          <w:rStyle w:val="normaltextrun"/>
        </w:rPr>
      </w:pPr>
      <w:r w:rsidRPr="00EF76FF">
        <w:rPr>
          <w:rStyle w:val="normaltextrun"/>
        </w:rPr>
        <w:t>(The maid accepted a coffee from the butler.)</w:t>
      </w:r>
    </w:p>
    <w:p w14:paraId="7FE0ABF1" w14:textId="77777777" w:rsidR="00E03AF5" w:rsidRDefault="00E03AF5" w:rsidP="003375DF">
      <w:pPr>
        <w:pStyle w:val="body"/>
        <w:rPr>
          <w:rFonts w:ascii="Times New Roman" w:hAnsi="Times New Roman" w:cs="Times New Roman"/>
        </w:rPr>
      </w:pPr>
    </w:p>
    <w:p w14:paraId="12C0BBA8" w14:textId="191E5F5A" w:rsidR="00BF5375" w:rsidRPr="00BF5375" w:rsidRDefault="00BF5375" w:rsidP="00BF5375">
      <w:pPr>
        <w:pStyle w:val="body"/>
        <w:rPr>
          <w:rStyle w:val="normaltextrun"/>
        </w:rPr>
      </w:pPr>
      <w:r>
        <w:rPr>
          <w:rFonts w:ascii="Times New Roman" w:hAnsi="Times New Roman" w:cs="Times New Roman"/>
        </w:rPr>
        <w:t>Thus</w:t>
      </w:r>
      <w:r w:rsidR="003375DF" w:rsidRPr="2EBC3AA5">
        <w:rPr>
          <w:rFonts w:ascii="Times New Roman" w:hAnsi="Times New Roman" w:cs="Times New Roman"/>
        </w:rPr>
        <w:t xml:space="preserve">, </w:t>
      </w:r>
      <w:r w:rsidR="003375DF" w:rsidRPr="2EBC3AA5">
        <w:rPr>
          <w:rFonts w:ascii="Times New Roman" w:hAnsi="Times New Roman"/>
        </w:rPr>
        <w:t xml:space="preserve">there were four </w:t>
      </w:r>
      <w:r>
        <w:rPr>
          <w:rFonts w:ascii="Times New Roman" w:hAnsi="Times New Roman"/>
        </w:rPr>
        <w:t xml:space="preserve">key </w:t>
      </w:r>
      <w:r w:rsidR="003375DF" w:rsidRPr="2EBC3AA5">
        <w:rPr>
          <w:rFonts w:ascii="Times New Roman" w:hAnsi="Times New Roman"/>
        </w:rPr>
        <w:t xml:space="preserve">conditions in the experiment: (1) goal, subject reference; (2) goal, nonsubject reference; (3) source, subject reference; and (4) source, nonsubject reference.  In half of each category, the two characters had the same gender, and in the other half they had different gender. This controls for the known tendency in English to use </w:t>
      </w:r>
      <w:r w:rsidR="003375DF" w:rsidRPr="2EBC3AA5">
        <w:rPr>
          <w:rFonts w:ascii="Times New Roman" w:hAnsi="Times New Roman"/>
        </w:rPr>
        <w:lastRenderedPageBreak/>
        <w:t>pronouns more often when the pronouns are unambiguous, in the different-gender condition.</w:t>
      </w:r>
      <w:r>
        <w:rPr>
          <w:rFonts w:ascii="Times New Roman" w:hAnsi="Times New Roman" w:cs="Times New Roman"/>
        </w:rPr>
        <w:t xml:space="preserve"> This resulted </w:t>
      </w:r>
      <w:r w:rsidR="008615B4" w:rsidRPr="2EBC3AA5">
        <w:rPr>
          <w:rStyle w:val="normaltextrun"/>
        </w:rPr>
        <w:t xml:space="preserve">in a </w:t>
      </w:r>
      <w:r>
        <w:rPr>
          <w:rStyle w:val="normaltextrun"/>
        </w:rPr>
        <w:t xml:space="preserve">2 </w:t>
      </w:r>
      <w:r w:rsidR="008615B4" w:rsidRPr="2EBC3AA5">
        <w:rPr>
          <w:rStyle w:val="normaltextrun"/>
        </w:rPr>
        <w:t>(subject vs. nonsubject)</w:t>
      </w:r>
      <w:r>
        <w:rPr>
          <w:rStyle w:val="normaltextrun"/>
        </w:rPr>
        <w:t xml:space="preserve"> x 2</w:t>
      </w:r>
      <w:r w:rsidR="008615B4" w:rsidRPr="2EBC3AA5">
        <w:rPr>
          <w:rStyle w:val="normaltextrun"/>
        </w:rPr>
        <w:t xml:space="preserve"> (goal vs. source), </w:t>
      </w:r>
      <w:r>
        <w:rPr>
          <w:rStyle w:val="normaltextrun"/>
        </w:rPr>
        <w:t>x 2</w:t>
      </w:r>
      <w:r w:rsidR="008615B4" w:rsidRPr="2EBC3AA5">
        <w:rPr>
          <w:rStyle w:val="normaltextrun"/>
        </w:rPr>
        <w:t xml:space="preserve"> (</w:t>
      </w:r>
      <w:r w:rsidR="00223AC3">
        <w:rPr>
          <w:rStyle w:val="normaltextrun"/>
        </w:rPr>
        <w:t>different</w:t>
      </w:r>
      <w:r w:rsidR="008615B4" w:rsidRPr="2EBC3AA5">
        <w:rPr>
          <w:rStyle w:val="normaltextrun"/>
        </w:rPr>
        <w:t xml:space="preserve"> vs. </w:t>
      </w:r>
      <w:r w:rsidR="00223AC3">
        <w:rPr>
          <w:rStyle w:val="normaltextrun"/>
        </w:rPr>
        <w:t>same</w:t>
      </w:r>
      <w:r w:rsidR="008615B4" w:rsidRPr="2EBC3AA5">
        <w:rPr>
          <w:rStyle w:val="normaltextrun"/>
        </w:rPr>
        <w:t>-gendered characters)</w:t>
      </w:r>
      <w:r>
        <w:rPr>
          <w:rStyle w:val="normaltextrun"/>
        </w:rPr>
        <w:t xml:space="preserve"> design</w:t>
      </w:r>
      <w:r w:rsidR="008615B4" w:rsidRPr="2EBC3AA5">
        <w:rPr>
          <w:rStyle w:val="normaltextrun"/>
        </w:rPr>
        <w:t>. Thematic role and gender were manipulated between items, such that 6 of our 24 stimuli fell in each category (goal/same-gender; goal/different-gender; source/same-gender; source/different gender. Subjecthood was manipulated within item, such that there were two versions of each context sentence</w:t>
      </w:r>
      <w:r>
        <w:rPr>
          <w:rStyle w:val="normaltextrun"/>
        </w:rPr>
        <w:t xml:space="preserve">. The items were rotated across these two conditions and combined into two lists. In sum, each participant saw 3 items in each of the 8 conditions, for a total of 24 critical items. </w:t>
      </w:r>
    </w:p>
    <w:p w14:paraId="0E97AACB" w14:textId="42B4B90B" w:rsidR="008615B4" w:rsidRDefault="008615B4" w:rsidP="008615B4">
      <w:pPr>
        <w:pStyle w:val="body"/>
        <w:rPr>
          <w:rStyle w:val="normaltextrun"/>
        </w:rPr>
      </w:pPr>
      <w:r>
        <w:rPr>
          <w:rStyle w:val="normaltextrun"/>
        </w:rPr>
        <w:t>Our dependent variable measured the referential form used to refer to the target character in the participant’s continuation. We coded the first clause of each continuation, classifying the form of the grammatical subject in one of three categories: description/name [</w:t>
      </w:r>
      <w:r>
        <w:t xml:space="preserve">El mayordomo </w:t>
      </w:r>
      <w:r w:rsidR="002539EB">
        <w:t>cant</w:t>
      </w:r>
      <w:r w:rsidR="00A96966">
        <w:t>ó</w:t>
      </w:r>
      <w:r w:rsidR="002539EB">
        <w:t xml:space="preserve"> / The butler sang</w:t>
      </w:r>
      <w:r>
        <w:rPr>
          <w:rStyle w:val="normaltextrun"/>
          <w:lang w:val="es-ES"/>
        </w:rPr>
        <w:t>],</w:t>
      </w:r>
      <w:r>
        <w:rPr>
          <w:rStyle w:val="normaltextrun"/>
        </w:rPr>
        <w:t xml:space="preserve"> overt pronoun [</w:t>
      </w:r>
      <w:r>
        <w:rPr>
          <w:rStyle w:val="normaltextrun"/>
          <w:lang w:val="es-ES"/>
        </w:rPr>
        <w:t>él</w:t>
      </w:r>
      <w:r>
        <w:t xml:space="preserve"> </w:t>
      </w:r>
      <w:r w:rsidR="008907FD">
        <w:t>cant</w:t>
      </w:r>
      <w:r w:rsidR="00A96966">
        <w:t>ó</w:t>
      </w:r>
      <w:r w:rsidR="008907FD">
        <w:t xml:space="preserve"> / he sang</w:t>
      </w:r>
      <w:r>
        <w:rPr>
          <w:rStyle w:val="normaltextrun"/>
          <w:lang w:val="es-ES"/>
        </w:rPr>
        <w:t>],</w:t>
      </w:r>
      <w:r>
        <w:rPr>
          <w:rStyle w:val="normaltextrun"/>
        </w:rPr>
        <w:t xml:space="preserve"> or null pronoun [</w:t>
      </w:r>
      <w:r>
        <w:t xml:space="preserve">Ø </w:t>
      </w:r>
      <w:r w:rsidR="008A6B63">
        <w:t>cant</w:t>
      </w:r>
      <w:r w:rsidR="00A96966">
        <w:t>ó</w:t>
      </w:r>
      <w:r w:rsidR="008A6B63">
        <w:t xml:space="preserve"> / Ø sang</w:t>
      </w:r>
      <w:r>
        <w:rPr>
          <w:rStyle w:val="normaltextrun"/>
        </w:rPr>
        <w:t xml:space="preserve">]. Trials were considered unusable if </w:t>
      </w:r>
      <w:r w:rsidR="00B94098">
        <w:rPr>
          <w:rStyle w:val="normaltextrun"/>
        </w:rPr>
        <w:t>the subject</w:t>
      </w:r>
      <w:r w:rsidR="007A25BB">
        <w:rPr>
          <w:rStyle w:val="normaltextrun"/>
        </w:rPr>
        <w:t xml:space="preserve"> NP</w:t>
      </w:r>
      <w:r>
        <w:rPr>
          <w:rStyle w:val="normaltextrun"/>
        </w:rPr>
        <w:t xml:space="preserve"> referred to the wrong referent (a referent other than the character mentioned first) or to multiple referents. We also excluded continuations with verbs like gustar (“to like”), in which the target was most naturally continued as the object of the verb instead of the subject</w:t>
      </w:r>
      <w:r w:rsidR="00EA7DA5">
        <w:rPr>
          <w:rStyle w:val="EndnoteReference"/>
        </w:rPr>
        <w:endnoteReference w:id="2"/>
      </w:r>
      <w:r>
        <w:rPr>
          <w:rStyle w:val="normaltextrun"/>
        </w:rPr>
        <w:t xml:space="preserve">. Responses were also excluded for using a </w:t>
      </w:r>
      <w:r w:rsidRPr="00532A6E">
        <w:rPr>
          <w:rStyle w:val="normaltextrun"/>
          <w:i/>
        </w:rPr>
        <w:t>who</w:t>
      </w:r>
      <w:r>
        <w:rPr>
          <w:rStyle w:val="normaltextrun"/>
        </w:rPr>
        <w:t xml:space="preserve"> or </w:t>
      </w:r>
      <w:r w:rsidRPr="00532A6E">
        <w:rPr>
          <w:rStyle w:val="normaltextrun"/>
          <w:i/>
        </w:rPr>
        <w:t>which</w:t>
      </w:r>
      <w:r>
        <w:rPr>
          <w:rStyle w:val="normaltextrun"/>
        </w:rPr>
        <w:t xml:space="preserve"> </w:t>
      </w:r>
      <w:r w:rsidR="000B12A4">
        <w:rPr>
          <w:rStyle w:val="normaltextrun"/>
        </w:rPr>
        <w:t>pronoun</w:t>
      </w:r>
      <w:r>
        <w:rPr>
          <w:rStyle w:val="normaltextrun"/>
        </w:rPr>
        <w:t xml:space="preserve"> instead of a </w:t>
      </w:r>
      <w:r w:rsidR="000B12A4">
        <w:rPr>
          <w:rStyle w:val="normaltextrun"/>
        </w:rPr>
        <w:t xml:space="preserve">personal </w:t>
      </w:r>
      <w:r>
        <w:rPr>
          <w:rStyle w:val="normaltextrun"/>
        </w:rPr>
        <w:t>pronoun</w:t>
      </w:r>
      <w:r w:rsidR="000B12A4">
        <w:rPr>
          <w:rStyle w:val="normaltextrun"/>
        </w:rPr>
        <w:t xml:space="preserve"> (</w:t>
      </w:r>
      <w:r w:rsidR="009F7264">
        <w:rPr>
          <w:rStyle w:val="normaltextrun"/>
          <w:i/>
        </w:rPr>
        <w:t>ella</w:t>
      </w:r>
      <w:r w:rsidR="009F7264">
        <w:rPr>
          <w:rStyle w:val="normaltextrun"/>
        </w:rPr>
        <w:t xml:space="preserve"> (she) or </w:t>
      </w:r>
      <w:r w:rsidR="009F7264" w:rsidRPr="009F7264">
        <w:rPr>
          <w:rStyle w:val="normaltextrun"/>
          <w:i/>
        </w:rPr>
        <w:t>él</w:t>
      </w:r>
      <w:r w:rsidR="009F7264">
        <w:rPr>
          <w:rStyle w:val="normaltextrun"/>
        </w:rPr>
        <w:t xml:space="preserve"> (he))</w:t>
      </w:r>
      <w:r>
        <w:rPr>
          <w:rStyle w:val="normaltextrun"/>
        </w:rPr>
        <w:t xml:space="preserve">, using quoted dialogue, or incomplete or missing responses. </w:t>
      </w:r>
    </w:p>
    <w:p w14:paraId="6B7FE93D" w14:textId="30BC08E6" w:rsidR="008615B4" w:rsidRPr="00447B91" w:rsidRDefault="008615B4" w:rsidP="001D4A2A">
      <w:pPr>
        <w:pStyle w:val="Heading3"/>
      </w:pPr>
      <w:r>
        <w:t>Procedure</w:t>
      </w:r>
    </w:p>
    <w:p w14:paraId="2523AB8B" w14:textId="10173EAA" w:rsidR="008615B4" w:rsidRPr="007C7D75" w:rsidRDefault="008615B4" w:rsidP="008615B4">
      <w:pPr>
        <w:pStyle w:val="body"/>
        <w:rPr>
          <w:rFonts w:cstheme="minorBidi"/>
          <w:b/>
          <w:bCs/>
          <w:color w:val="000000" w:themeColor="text1"/>
        </w:rPr>
      </w:pPr>
      <w:r w:rsidRPr="2EBC3AA5">
        <w:rPr>
          <w:rStyle w:val="normaltextrun"/>
        </w:rPr>
        <w:t xml:space="preserve">Participants were directed to a Qualtrics survey and presented with a short introduction to their role as a tabloid photographer who had unknowingly witnessed a murder in a mansion. All aspects of the survey were in Spanish. Participants were presented with pairs of illustrations representing the pictures taken at the mansion and asked to reconstruct the story. The first illustration of each pair, which always had two characters in the </w:t>
      </w:r>
      <w:r>
        <w:t>image</w:t>
      </w:r>
      <w:r w:rsidR="00BB040D">
        <w:t xml:space="preserve"> for critical items</w:t>
      </w:r>
      <w:r>
        <w:t xml:space="preserve">, was accompanied by a sentence describing the </w:t>
      </w:r>
      <w:r w:rsidR="00CB1D94">
        <w:t>event</w:t>
      </w:r>
      <w:r>
        <w:t>. Participants were</w:t>
      </w:r>
      <w:r w:rsidRPr="2EBC3AA5">
        <w:rPr>
          <w:rStyle w:val="normaltextrun"/>
        </w:rPr>
        <w:t xml:space="preserve"> </w:t>
      </w:r>
      <w:r w:rsidRPr="2EBC3AA5">
        <w:rPr>
          <w:rStyle w:val="normaltextrun"/>
        </w:rPr>
        <w:lastRenderedPageBreak/>
        <w:t>instructed to provide a written continuation for the second illustration of each pair, which contained only the target character.</w:t>
      </w:r>
    </w:p>
    <w:p w14:paraId="6478BA00" w14:textId="36E5924F" w:rsidR="008615B4" w:rsidRDefault="008615B4" w:rsidP="001D4A2A">
      <w:pPr>
        <w:pStyle w:val="Heading2"/>
      </w:pPr>
      <w:r>
        <w:t>Results</w:t>
      </w:r>
    </w:p>
    <w:p w14:paraId="06848F49" w14:textId="38DADBF9" w:rsidR="008615B4" w:rsidRDefault="008615B4" w:rsidP="008615B4">
      <w:pPr>
        <w:pStyle w:val="body"/>
        <w:rPr>
          <w:shd w:val="clear" w:color="auto" w:fill="FFFFFF"/>
        </w:rPr>
      </w:pPr>
      <w:r>
        <w:rPr>
          <w:shd w:val="clear" w:color="auto" w:fill="FFFFFF"/>
        </w:rPr>
        <w:t xml:space="preserve">The primary aim of our research was to determine if semantic roles affect the use of referential form in Spanish language production. We therefore modeled our data in terms of three binary choices: 1) name or description vs. other; 2) overt pronoun vs. other; 3) null pronoun vs. other. Data was </w:t>
      </w:r>
      <w:r w:rsidR="00585661">
        <w:rPr>
          <w:shd w:val="clear" w:color="auto" w:fill="FFFFFF"/>
        </w:rPr>
        <w:t>analyzed</w:t>
      </w:r>
      <w:r w:rsidR="00300D65">
        <w:rPr>
          <w:shd w:val="clear" w:color="auto" w:fill="FFFFFF"/>
        </w:rPr>
        <w:t xml:space="preserve"> </w:t>
      </w:r>
      <w:r>
        <w:rPr>
          <w:shd w:val="clear" w:color="auto" w:fill="FFFFFF"/>
        </w:rPr>
        <w:t xml:space="preserve">using multilevel logistic regressions with SAS proc glimmix, with </w:t>
      </w:r>
      <w:r w:rsidRPr="00661B67">
        <w:rPr>
          <w:shd w:val="clear" w:color="auto" w:fill="FFFFFF"/>
        </w:rPr>
        <w:t xml:space="preserve">centered predictors and maximal random effects. If the model estimated a slope to be zero, it was removed from the model and noted below the table reporting the model’s results. Although participants were included as long as </w:t>
      </w:r>
      <w:r w:rsidR="006A01A4" w:rsidRPr="00661B67">
        <w:rPr>
          <w:shd w:val="clear" w:color="auto" w:fill="FFFFFF"/>
        </w:rPr>
        <w:t>50</w:t>
      </w:r>
      <w:r w:rsidRPr="00661B67">
        <w:rPr>
          <w:shd w:val="clear" w:color="auto" w:fill="FFFFFF"/>
        </w:rPr>
        <w:t xml:space="preserve">% of their </w:t>
      </w:r>
      <w:r w:rsidR="001A4A1B">
        <w:rPr>
          <w:shd w:val="clear" w:color="auto" w:fill="FFFFFF"/>
        </w:rPr>
        <w:t>responses</w:t>
      </w:r>
      <w:r w:rsidRPr="00661B67">
        <w:rPr>
          <w:shd w:val="clear" w:color="auto" w:fill="FFFFFF"/>
        </w:rPr>
        <w:t xml:space="preserve"> </w:t>
      </w:r>
      <w:r w:rsidR="003F656D">
        <w:rPr>
          <w:shd w:val="clear" w:color="auto" w:fill="FFFFFF"/>
        </w:rPr>
        <w:t>were</w:t>
      </w:r>
      <w:r w:rsidR="00957450">
        <w:rPr>
          <w:shd w:val="clear" w:color="auto" w:fill="FFFFFF"/>
        </w:rPr>
        <w:t xml:space="preserve"> usable, </w:t>
      </w:r>
      <w:r w:rsidRPr="00661B67">
        <w:rPr>
          <w:shd w:val="clear" w:color="auto" w:fill="FFFFFF"/>
        </w:rPr>
        <w:t>participant</w:t>
      </w:r>
      <w:r w:rsidR="00957450">
        <w:rPr>
          <w:shd w:val="clear" w:color="auto" w:fill="FFFFFF"/>
        </w:rPr>
        <w:t>s</w:t>
      </w:r>
      <w:r w:rsidRPr="00661B67">
        <w:rPr>
          <w:shd w:val="clear" w:color="auto" w:fill="FFFFFF"/>
        </w:rPr>
        <w:t xml:space="preserve"> contributed </w:t>
      </w:r>
      <w:r w:rsidR="000A4A58" w:rsidRPr="00661B67">
        <w:rPr>
          <w:shd w:val="clear" w:color="auto" w:fill="FFFFFF"/>
        </w:rPr>
        <w:t>on average</w:t>
      </w:r>
      <w:r w:rsidRPr="00661B67">
        <w:rPr>
          <w:shd w:val="clear" w:color="auto" w:fill="FFFFFF"/>
        </w:rPr>
        <w:t xml:space="preserve"> </w:t>
      </w:r>
      <w:r w:rsidR="00B819BD" w:rsidRPr="00661B67">
        <w:rPr>
          <w:shd w:val="clear" w:color="auto" w:fill="FFFFFF"/>
        </w:rPr>
        <w:t>86</w:t>
      </w:r>
      <w:r w:rsidRPr="00661B67">
        <w:rPr>
          <w:shd w:val="clear" w:color="auto" w:fill="FFFFFF"/>
        </w:rPr>
        <w:t>% of their trials. The total number of items includ</w:t>
      </w:r>
      <w:r w:rsidR="004A3A80" w:rsidRPr="00661B67">
        <w:rPr>
          <w:shd w:val="clear" w:color="auto" w:fill="FFFFFF"/>
        </w:rPr>
        <w:t>ed in the final analysis was 886</w:t>
      </w:r>
      <w:r w:rsidRPr="00661B67">
        <w:rPr>
          <w:shd w:val="clear" w:color="auto" w:fill="FFFFFF"/>
        </w:rPr>
        <w:t>. All</w:t>
      </w:r>
      <w:r>
        <w:rPr>
          <w:shd w:val="clear" w:color="auto" w:fill="FFFFFF"/>
        </w:rPr>
        <w:t xml:space="preserve"> statistical results are provided in </w:t>
      </w:r>
      <w:r w:rsidR="00C7531A">
        <w:rPr>
          <w:shd w:val="clear" w:color="auto" w:fill="FFFFFF"/>
        </w:rPr>
        <w:t xml:space="preserve">the </w:t>
      </w:r>
      <w:r>
        <w:rPr>
          <w:shd w:val="clear" w:color="auto" w:fill="FFFFFF"/>
        </w:rPr>
        <w:t xml:space="preserve">Appendix, and the significance patterns are </w:t>
      </w:r>
      <w:r w:rsidR="00585661">
        <w:rPr>
          <w:shd w:val="clear" w:color="auto" w:fill="FFFFFF"/>
        </w:rPr>
        <w:t>summarized</w:t>
      </w:r>
      <w:r>
        <w:rPr>
          <w:shd w:val="clear" w:color="auto" w:fill="FFFFFF"/>
        </w:rPr>
        <w:t xml:space="preserve"> in Table </w:t>
      </w:r>
      <w:r w:rsidR="004D0DF6">
        <w:rPr>
          <w:shd w:val="clear" w:color="auto" w:fill="FFFFFF"/>
        </w:rPr>
        <w:t>2</w:t>
      </w:r>
      <w:r>
        <w:rPr>
          <w:shd w:val="clear" w:color="auto" w:fill="FFFFFF"/>
        </w:rPr>
        <w:t>.</w:t>
      </w:r>
    </w:p>
    <w:p w14:paraId="26798B9C" w14:textId="6B4094D6" w:rsidR="008615B4" w:rsidRDefault="008615B4" w:rsidP="008615B4">
      <w:pPr>
        <w:pStyle w:val="body"/>
      </w:pPr>
      <w:r>
        <w:t>As shown in Figure</w:t>
      </w:r>
      <w:r w:rsidR="00EF1582">
        <w:t>s</w:t>
      </w:r>
      <w:r>
        <w:t xml:space="preserve"> </w:t>
      </w:r>
      <w:r w:rsidR="00467667">
        <w:t>3</w:t>
      </w:r>
      <w:r w:rsidR="00EF1582">
        <w:t xml:space="preserve"> and 4</w:t>
      </w:r>
      <w:r>
        <w:t xml:space="preserve">, </w:t>
      </w:r>
      <w:r w:rsidR="004F4620">
        <w:t>participants</w:t>
      </w:r>
      <w:r>
        <w:t xml:space="preserve"> used null pronouns more</w:t>
      </w:r>
      <w:r w:rsidR="00C243CD">
        <w:t xml:space="preserve"> often</w:t>
      </w:r>
      <w:r>
        <w:t xml:space="preserve"> </w:t>
      </w:r>
      <w:r w:rsidR="004B6293">
        <w:t xml:space="preserve">to </w:t>
      </w:r>
      <w:r>
        <w:t>refer to the subject than</w:t>
      </w:r>
      <w:r w:rsidR="00E55E9A">
        <w:t xml:space="preserve"> to the</w:t>
      </w:r>
      <w:r>
        <w:t xml:space="preserve"> nonsubject characters, and conversely, used overt pronouns and descriptions more for the nonsubject than subject characters. This emerged as a main effect of subjecthood for all three dependent measures.</w:t>
      </w:r>
    </w:p>
    <w:p w14:paraId="1FED99F8" w14:textId="628CCBF0" w:rsidR="008615B4" w:rsidRDefault="008615B4" w:rsidP="008615B4">
      <w:pPr>
        <w:pStyle w:val="body"/>
      </w:pPr>
      <w:r>
        <w:t xml:space="preserve">In addition, we saw a smaller effect of thematic role. This effect emerged most strongly for overt pronouns, which were more likely for reference to goals than sources in nonsubject position, but were highly infrequent overall for reference to subject characters.  This emerged as an interaction between subject </w:t>
      </w:r>
      <w:r w:rsidRPr="00A0123D">
        <w:t>and goal in the pronoun model. We used estimate statements to probe the effect of thematic role (goal minus source) for both subjects and objects, and confirmed that there was a significa</w:t>
      </w:r>
      <w:r w:rsidR="006E54E9">
        <w:t xml:space="preserve">nt goal effect for nonsubjects </w:t>
      </w:r>
      <w:r w:rsidRPr="00A0123D">
        <w:t xml:space="preserve">(β = </w:t>
      </w:r>
      <w:r w:rsidR="00CB7AF8" w:rsidRPr="00A0123D">
        <w:rPr>
          <w:rFonts w:cs="Lucida Grande"/>
        </w:rPr>
        <w:t>0.99</w:t>
      </w:r>
      <w:r w:rsidRPr="00A0123D">
        <w:rPr>
          <w:rFonts w:cs="Lucida Grande"/>
        </w:rPr>
        <w:t xml:space="preserve"> (SE = 0.4</w:t>
      </w:r>
      <w:r w:rsidR="00CB7AF8" w:rsidRPr="00A0123D">
        <w:rPr>
          <w:rFonts w:cs="Lucida Grande"/>
        </w:rPr>
        <w:t>1), t = 2.4</w:t>
      </w:r>
      <w:r w:rsidRPr="00A0123D">
        <w:rPr>
          <w:rFonts w:cs="Lucida Grande"/>
        </w:rPr>
        <w:t>, p = .0</w:t>
      </w:r>
      <w:r w:rsidR="003C10A6">
        <w:rPr>
          <w:rFonts w:cs="Lucida Grande"/>
        </w:rPr>
        <w:t>2</w:t>
      </w:r>
      <w:r w:rsidRPr="00A0123D">
        <w:rPr>
          <w:rFonts w:cs="Lucida Grande"/>
        </w:rPr>
        <w:t>, but not for subjects (</w:t>
      </w:r>
      <w:r w:rsidRPr="00A0123D">
        <w:t>β</w:t>
      </w:r>
      <w:r w:rsidRPr="00A0123D">
        <w:rPr>
          <w:rFonts w:cs="Lucida Grande"/>
        </w:rPr>
        <w:t xml:space="preserve"> = </w:t>
      </w:r>
      <w:r w:rsidR="00CB7AF8" w:rsidRPr="00A0123D">
        <w:t>-0.85</w:t>
      </w:r>
      <w:r w:rsidRPr="00A0123D">
        <w:t xml:space="preserve"> (SE = 0.5</w:t>
      </w:r>
      <w:r w:rsidR="00CB7AF8" w:rsidRPr="00A0123D">
        <w:t>2</w:t>
      </w:r>
      <w:r w:rsidRPr="00A0123D">
        <w:t>), t = - 1.</w:t>
      </w:r>
      <w:r w:rsidR="00CB7AF8" w:rsidRPr="00A0123D">
        <w:t>64</w:t>
      </w:r>
      <w:r w:rsidRPr="00A0123D">
        <w:t>, p = 0.1</w:t>
      </w:r>
      <w:r w:rsidR="00CB7AF8" w:rsidRPr="00A0123D">
        <w:t>1</w:t>
      </w:r>
      <w:r w:rsidRPr="00A0123D">
        <w:t>).</w:t>
      </w:r>
      <w:r>
        <w:t xml:space="preserve">  </w:t>
      </w:r>
    </w:p>
    <w:p w14:paraId="79387EB4" w14:textId="61F41FB7" w:rsidR="008615B4" w:rsidRDefault="008615B4" w:rsidP="008615B4">
      <w:pPr>
        <w:pStyle w:val="body"/>
      </w:pPr>
      <w:r>
        <w:lastRenderedPageBreak/>
        <w:t xml:space="preserve">There was also a three-way interaction in the </w:t>
      </w:r>
      <w:r w:rsidRPr="2EBC3AA5">
        <w:rPr>
          <w:lang w:eastAsia="ja-JP"/>
        </w:rPr>
        <w:t>name/description</w:t>
      </w:r>
      <w:r>
        <w:t xml:space="preserve"> model.  Again we used estimates to probe the effect of thematic role for each of the other </w:t>
      </w:r>
      <w:r w:rsidRPr="00A0123D">
        <w:t>conditions (subject/same-gender; subject/different-gender; nonsubject/same; nonsubject/different). However, the goal effect was not significant in any of these conditions (|t|’s &lt; 1.7</w:t>
      </w:r>
      <w:r w:rsidR="00A615E6">
        <w:t>6</w:t>
      </w:r>
      <w:r w:rsidRPr="00A0123D">
        <w:t>; p’s &gt; .</w:t>
      </w:r>
      <w:r w:rsidR="00335C5D" w:rsidRPr="00A0123D">
        <w:t>09</w:t>
      </w:r>
      <w:r w:rsidRPr="00A0123D">
        <w:t xml:space="preserve">, suggesting that it had a limited effect on </w:t>
      </w:r>
      <w:r w:rsidR="0002626B" w:rsidRPr="00A0123D">
        <w:t>the</w:t>
      </w:r>
      <w:r w:rsidRPr="00A0123D">
        <w:t xml:space="preserve"> production</w:t>
      </w:r>
      <w:r w:rsidR="0002626B" w:rsidRPr="00A0123D">
        <w:t xml:space="preserve"> of names</w:t>
      </w:r>
      <w:r w:rsidR="00F65D91" w:rsidRPr="00A0123D">
        <w:t>/descriptions</w:t>
      </w:r>
      <w:r w:rsidRPr="00A0123D">
        <w:t xml:space="preserve"> in this experiment.</w:t>
      </w:r>
    </w:p>
    <w:p w14:paraId="0761C7C4" w14:textId="6B32BF04" w:rsidR="008615B4" w:rsidRDefault="000C2A52" w:rsidP="008615B4">
      <w:pPr>
        <w:pStyle w:val="examples"/>
      </w:pPr>
      <w:r>
        <w:tab/>
        <w:t>Our gender manipulation (</w:t>
      </w:r>
      <w:r w:rsidR="00FC2D89">
        <w:t xml:space="preserve">different vs. </w:t>
      </w:r>
      <w:r>
        <w:t xml:space="preserve">same) did not have a </w:t>
      </w:r>
      <w:r w:rsidR="000B54E4">
        <w:t>significant</w:t>
      </w:r>
      <w:r>
        <w:t xml:space="preserve"> effect, but there was a marginal tendency to use more</w:t>
      </w:r>
      <w:r w:rsidR="000B54E4">
        <w:t xml:space="preserve"> names in the same-gender condition, and more overt pronouns in the different-gender condition. These effects are in the predicted direction for a disambiguation strategy, since overt pronouns specify the gender of the referent. </w:t>
      </w:r>
    </w:p>
    <w:p w14:paraId="54F771BA" w14:textId="77777777" w:rsidR="000C2A52" w:rsidRDefault="000C2A52" w:rsidP="008615B4">
      <w:pPr>
        <w:pStyle w:val="examples"/>
      </w:pPr>
    </w:p>
    <w:p w14:paraId="3B7F5DD9" w14:textId="76264C9D" w:rsidR="008C3F5A" w:rsidRPr="00140BD4" w:rsidRDefault="008615B4" w:rsidP="00B17F95">
      <w:pPr>
        <w:pStyle w:val="examples"/>
        <w:keepNext/>
      </w:pPr>
      <w:r>
        <w:rPr>
          <w:lang w:val="it-IT" w:eastAsia="it-IT" w:bidi="bn-BD"/>
        </w:rPr>
        <mc:AlternateContent>
          <mc:Choice Requires="wps">
            <w:drawing>
              <wp:anchor distT="0" distB="0" distL="114300" distR="114300" simplePos="0" relativeHeight="251659264" behindDoc="0" locked="0" layoutInCell="1" allowOverlap="1" wp14:anchorId="145BFF38" wp14:editId="6DD85AC5">
                <wp:simplePos x="0" y="0"/>
                <wp:positionH relativeFrom="column">
                  <wp:posOffset>1</wp:posOffset>
                </wp:positionH>
                <wp:positionV relativeFrom="paragraph">
                  <wp:posOffset>1828076</wp:posOffset>
                </wp:positionV>
                <wp:extent cx="551815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55181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D89B33"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95pt" to="434.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" strokecolor="#7f7f7f [1612]"/>
            </w:pict>
          </mc:Fallback>
        </mc:AlternateContent>
      </w:r>
      <w:r w:rsidR="00E44538" w:rsidRPr="00E44538">
        <w:rPr>
          <w:shd w:val="clear" w:color="auto" w:fill="7F7F7F" w:themeFill="text1" w:themeFillTint="80"/>
          <w:lang w:val="it-IT" w:eastAsia="it-IT" w:bidi="bn-BD"/>
        </w:rPr>
        <w:drawing>
          <wp:inline distT="0" distB="0" distL="0" distR="0" wp14:anchorId="3A4E96F9" wp14:editId="03366427">
            <wp:extent cx="2286000" cy="18288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C3F5A">
        <w:rPr>
          <w:lang w:val="it-IT" w:eastAsia="it-IT" w:bidi="bn-BD"/>
        </w:rPr>
        <w:drawing>
          <wp:inline distT="0" distB="0" distL="0" distR="0" wp14:anchorId="156FA4A5" wp14:editId="7CC17AF4">
            <wp:extent cx="3236976" cy="1828800"/>
            <wp:effectExtent l="0" t="0" r="190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6A494D" w14:textId="178F93A2" w:rsidR="008615B4" w:rsidRDefault="008615B4" w:rsidP="00B17F95">
      <w:pPr>
        <w:pStyle w:val="examples"/>
        <w:keepNext/>
      </w:pPr>
      <w:r w:rsidRPr="00E44538">
        <w:t xml:space="preserve">Figure </w:t>
      </w:r>
      <w:r w:rsidR="00467667">
        <w:t>3</w:t>
      </w:r>
      <w:r w:rsidRPr="00E44538">
        <w:t xml:space="preserve">. </w:t>
      </w:r>
      <w:r w:rsidR="00281F2C">
        <w:t>Experiment 1, o</w:t>
      </w:r>
      <w:r w:rsidRPr="00E44538">
        <w:t>verall pattern of responses</w:t>
      </w:r>
    </w:p>
    <w:p w14:paraId="4A8ADFAC" w14:textId="77777777" w:rsidR="008615B4" w:rsidRDefault="008615B4" w:rsidP="008615B4">
      <w:pPr>
        <w:ind w:firstLine="720"/>
      </w:pPr>
    </w:p>
    <w:p w14:paraId="4CB39503" w14:textId="080D2D13" w:rsidR="008615B4" w:rsidRDefault="008615B4" w:rsidP="00B17F95">
      <w:pPr>
        <w:pStyle w:val="examples"/>
        <w:keepNext/>
        <w:spacing w:line="240" w:lineRule="auto"/>
      </w:pPr>
      <w:r w:rsidRPr="000C703D">
        <w:lastRenderedPageBreak/>
        <w:t xml:space="preserve">Table </w:t>
      </w:r>
      <w:r w:rsidR="004D0DF6">
        <w:t>2</w:t>
      </w:r>
      <w:r w:rsidRPr="000C703D">
        <w:t>.</w:t>
      </w:r>
      <w:r>
        <w:t xml:space="preserve"> Experiment 1 results: Summary of effects from three models</w:t>
      </w:r>
    </w:p>
    <w:tbl>
      <w:tblPr>
        <w:tblStyle w:val="TableGrid"/>
        <w:tblW w:w="7488" w:type="dxa"/>
        <w:tblLook w:val="04A0" w:firstRow="1" w:lastRow="0" w:firstColumn="1" w:lastColumn="0" w:noHBand="0" w:noVBand="1"/>
      </w:tblPr>
      <w:tblGrid>
        <w:gridCol w:w="3337"/>
        <w:gridCol w:w="1976"/>
        <w:gridCol w:w="1049"/>
        <w:gridCol w:w="1126"/>
      </w:tblGrid>
      <w:tr w:rsidR="008615B4" w14:paraId="5CB931B6" w14:textId="77777777" w:rsidTr="00A36647">
        <w:tc>
          <w:tcPr>
            <w:tcW w:w="3337" w:type="dxa"/>
          </w:tcPr>
          <w:p w14:paraId="20687187" w14:textId="77777777" w:rsidR="008615B4" w:rsidRDefault="008615B4" w:rsidP="00B17F95">
            <w:pPr>
              <w:pStyle w:val="examples"/>
              <w:keepNext/>
              <w:spacing w:line="240" w:lineRule="auto"/>
            </w:pPr>
          </w:p>
        </w:tc>
        <w:tc>
          <w:tcPr>
            <w:tcW w:w="1976" w:type="dxa"/>
          </w:tcPr>
          <w:p w14:paraId="61D80EEC" w14:textId="77777777" w:rsidR="008615B4" w:rsidRDefault="008615B4" w:rsidP="00B17F95">
            <w:pPr>
              <w:pStyle w:val="examples"/>
              <w:keepNext/>
              <w:spacing w:line="240" w:lineRule="auto"/>
            </w:pPr>
            <w:r>
              <w:t>Name/Description model</w:t>
            </w:r>
          </w:p>
        </w:tc>
        <w:tc>
          <w:tcPr>
            <w:tcW w:w="1049" w:type="dxa"/>
          </w:tcPr>
          <w:p w14:paraId="38C16D7E" w14:textId="77777777" w:rsidR="008615B4" w:rsidRDefault="008615B4" w:rsidP="00B17F95">
            <w:pPr>
              <w:pStyle w:val="examples"/>
              <w:keepNext/>
              <w:spacing w:line="240" w:lineRule="auto"/>
            </w:pPr>
            <w:r>
              <w:t>Overt pronoun model</w:t>
            </w:r>
          </w:p>
        </w:tc>
        <w:tc>
          <w:tcPr>
            <w:tcW w:w="1126" w:type="dxa"/>
          </w:tcPr>
          <w:p w14:paraId="6F925AFB" w14:textId="77777777" w:rsidR="008615B4" w:rsidRDefault="008615B4" w:rsidP="00B17F95">
            <w:pPr>
              <w:pStyle w:val="examples"/>
              <w:keepNext/>
              <w:spacing w:line="240" w:lineRule="auto"/>
            </w:pPr>
            <w:r>
              <w:t>Null pronoun model</w:t>
            </w:r>
          </w:p>
        </w:tc>
      </w:tr>
      <w:tr w:rsidR="008615B4" w14:paraId="6BF28013" w14:textId="77777777" w:rsidTr="00A36647">
        <w:tc>
          <w:tcPr>
            <w:tcW w:w="3337" w:type="dxa"/>
          </w:tcPr>
          <w:p w14:paraId="47B50DED" w14:textId="77777777" w:rsidR="008615B4" w:rsidRDefault="008615B4" w:rsidP="00B17F95">
            <w:pPr>
              <w:pStyle w:val="examples"/>
              <w:keepNext/>
              <w:spacing w:line="240" w:lineRule="auto"/>
            </w:pPr>
            <w:r>
              <w:t>subject vs. nonsubject</w:t>
            </w:r>
          </w:p>
        </w:tc>
        <w:tc>
          <w:tcPr>
            <w:tcW w:w="1976" w:type="dxa"/>
          </w:tcPr>
          <w:p w14:paraId="07E40BC7" w14:textId="77777777" w:rsidR="008615B4" w:rsidRDefault="008615B4" w:rsidP="00B17F95">
            <w:pPr>
              <w:pStyle w:val="examples"/>
              <w:keepNext/>
              <w:spacing w:line="240" w:lineRule="auto"/>
            </w:pPr>
            <w:r>
              <w:t>***</w:t>
            </w:r>
          </w:p>
        </w:tc>
        <w:tc>
          <w:tcPr>
            <w:tcW w:w="1049" w:type="dxa"/>
          </w:tcPr>
          <w:p w14:paraId="52A47A21" w14:textId="1BB06E44" w:rsidR="008615B4" w:rsidRDefault="008615B4" w:rsidP="00B17F95">
            <w:pPr>
              <w:pStyle w:val="examples"/>
              <w:keepNext/>
              <w:spacing w:line="240" w:lineRule="auto"/>
            </w:pPr>
            <w:r>
              <w:t>*</w:t>
            </w:r>
            <w:r w:rsidR="000C703D">
              <w:t>*</w:t>
            </w:r>
          </w:p>
        </w:tc>
        <w:tc>
          <w:tcPr>
            <w:tcW w:w="1126" w:type="dxa"/>
          </w:tcPr>
          <w:p w14:paraId="0AEE1D9B" w14:textId="77777777" w:rsidR="008615B4" w:rsidRDefault="008615B4" w:rsidP="00B17F95">
            <w:pPr>
              <w:pStyle w:val="examples"/>
              <w:keepNext/>
              <w:spacing w:line="240" w:lineRule="auto"/>
            </w:pPr>
            <w:r>
              <w:t>***</w:t>
            </w:r>
          </w:p>
        </w:tc>
      </w:tr>
      <w:tr w:rsidR="008615B4" w14:paraId="39CE91E4" w14:textId="77777777" w:rsidTr="00A36647">
        <w:tc>
          <w:tcPr>
            <w:tcW w:w="3337" w:type="dxa"/>
          </w:tcPr>
          <w:p w14:paraId="51283EA7" w14:textId="77777777" w:rsidR="008615B4" w:rsidRDefault="008615B4" w:rsidP="00B17F95">
            <w:pPr>
              <w:pStyle w:val="examples"/>
              <w:keepNext/>
              <w:spacing w:line="240" w:lineRule="auto"/>
            </w:pPr>
            <w:r>
              <w:t>goal vs. source</w:t>
            </w:r>
          </w:p>
        </w:tc>
        <w:tc>
          <w:tcPr>
            <w:tcW w:w="1976" w:type="dxa"/>
          </w:tcPr>
          <w:p w14:paraId="0FF88049" w14:textId="77777777" w:rsidR="008615B4" w:rsidRDefault="008615B4" w:rsidP="00B17F95">
            <w:pPr>
              <w:pStyle w:val="examples"/>
              <w:keepNext/>
              <w:spacing w:line="240" w:lineRule="auto"/>
            </w:pPr>
          </w:p>
        </w:tc>
        <w:tc>
          <w:tcPr>
            <w:tcW w:w="1049" w:type="dxa"/>
          </w:tcPr>
          <w:p w14:paraId="4B5E2E69" w14:textId="77777777" w:rsidR="008615B4" w:rsidRDefault="008615B4" w:rsidP="00B17F95">
            <w:pPr>
              <w:pStyle w:val="examples"/>
              <w:keepNext/>
              <w:spacing w:line="240" w:lineRule="auto"/>
            </w:pPr>
          </w:p>
        </w:tc>
        <w:tc>
          <w:tcPr>
            <w:tcW w:w="1126" w:type="dxa"/>
          </w:tcPr>
          <w:p w14:paraId="77274D54" w14:textId="77777777" w:rsidR="008615B4" w:rsidRDefault="008615B4" w:rsidP="00B17F95">
            <w:pPr>
              <w:pStyle w:val="examples"/>
              <w:keepNext/>
              <w:spacing w:line="240" w:lineRule="auto"/>
            </w:pPr>
          </w:p>
        </w:tc>
      </w:tr>
      <w:tr w:rsidR="00A36647" w14:paraId="2DC7B6A3" w14:textId="77777777" w:rsidTr="00A36647">
        <w:tc>
          <w:tcPr>
            <w:tcW w:w="3337" w:type="dxa"/>
          </w:tcPr>
          <w:p w14:paraId="44BFB3C4" w14:textId="538E8BF7" w:rsidR="00A36647" w:rsidRDefault="007F3E1B" w:rsidP="00B17F95">
            <w:pPr>
              <w:pStyle w:val="examples"/>
              <w:keepNext/>
              <w:spacing w:line="240" w:lineRule="auto"/>
            </w:pPr>
            <w:r>
              <w:t>different vs. same gender</w:t>
            </w:r>
          </w:p>
        </w:tc>
        <w:tc>
          <w:tcPr>
            <w:tcW w:w="1976" w:type="dxa"/>
          </w:tcPr>
          <w:p w14:paraId="09603B2D" w14:textId="35B680DD" w:rsidR="00A36647" w:rsidRDefault="00A36647" w:rsidP="00B17F95">
            <w:pPr>
              <w:pStyle w:val="examples"/>
              <w:keepNext/>
              <w:spacing w:line="240" w:lineRule="auto"/>
            </w:pPr>
            <w:r>
              <w:t>(*)</w:t>
            </w:r>
          </w:p>
        </w:tc>
        <w:tc>
          <w:tcPr>
            <w:tcW w:w="1049" w:type="dxa"/>
          </w:tcPr>
          <w:p w14:paraId="4BCAE013" w14:textId="054427C2" w:rsidR="00A36647" w:rsidRDefault="00A36647" w:rsidP="00B17F95">
            <w:pPr>
              <w:pStyle w:val="examples"/>
              <w:keepNext/>
              <w:spacing w:line="240" w:lineRule="auto"/>
            </w:pPr>
            <w:r>
              <w:t>(*)</w:t>
            </w:r>
          </w:p>
        </w:tc>
        <w:tc>
          <w:tcPr>
            <w:tcW w:w="1126" w:type="dxa"/>
          </w:tcPr>
          <w:p w14:paraId="4103119E" w14:textId="16029708" w:rsidR="00A36647" w:rsidRDefault="00A36647" w:rsidP="00B17F95">
            <w:pPr>
              <w:pStyle w:val="examples"/>
              <w:keepNext/>
              <w:spacing w:line="240" w:lineRule="auto"/>
            </w:pPr>
          </w:p>
        </w:tc>
      </w:tr>
      <w:tr w:rsidR="00A36647" w14:paraId="72D8FA7B" w14:textId="77777777" w:rsidTr="00A36647">
        <w:tc>
          <w:tcPr>
            <w:tcW w:w="3337" w:type="dxa"/>
          </w:tcPr>
          <w:p w14:paraId="61B655B1" w14:textId="77777777" w:rsidR="00A36647" w:rsidRDefault="00A36647" w:rsidP="00B17F95">
            <w:pPr>
              <w:pStyle w:val="examples"/>
              <w:keepNext/>
              <w:spacing w:line="240" w:lineRule="auto"/>
            </w:pPr>
            <w:r>
              <w:t>subject x goal</w:t>
            </w:r>
          </w:p>
        </w:tc>
        <w:tc>
          <w:tcPr>
            <w:tcW w:w="1976" w:type="dxa"/>
          </w:tcPr>
          <w:p w14:paraId="2B025645" w14:textId="77777777" w:rsidR="00A36647" w:rsidRDefault="00A36647" w:rsidP="00B17F95">
            <w:pPr>
              <w:pStyle w:val="examples"/>
              <w:keepNext/>
              <w:spacing w:line="240" w:lineRule="auto"/>
            </w:pPr>
          </w:p>
        </w:tc>
        <w:tc>
          <w:tcPr>
            <w:tcW w:w="1049" w:type="dxa"/>
          </w:tcPr>
          <w:p w14:paraId="13B46F48" w14:textId="7343D930" w:rsidR="00A36647" w:rsidRDefault="00A36647" w:rsidP="00B17F95">
            <w:pPr>
              <w:pStyle w:val="examples"/>
              <w:keepNext/>
              <w:spacing w:line="240" w:lineRule="auto"/>
            </w:pPr>
            <w:r>
              <w:t>*</w:t>
            </w:r>
          </w:p>
        </w:tc>
        <w:tc>
          <w:tcPr>
            <w:tcW w:w="1126" w:type="dxa"/>
          </w:tcPr>
          <w:p w14:paraId="0C1DEB4F" w14:textId="77777777" w:rsidR="00A36647" w:rsidRDefault="00A36647" w:rsidP="00B17F95">
            <w:pPr>
              <w:pStyle w:val="examples"/>
              <w:keepNext/>
              <w:spacing w:line="240" w:lineRule="auto"/>
            </w:pPr>
          </w:p>
        </w:tc>
      </w:tr>
      <w:tr w:rsidR="00A36647" w14:paraId="3C919AB8" w14:textId="77777777" w:rsidTr="00A36647">
        <w:tc>
          <w:tcPr>
            <w:tcW w:w="3337" w:type="dxa"/>
          </w:tcPr>
          <w:p w14:paraId="090E3726" w14:textId="77777777" w:rsidR="00A36647" w:rsidRDefault="00A36647" w:rsidP="00B17F95">
            <w:pPr>
              <w:pStyle w:val="examples"/>
              <w:keepNext/>
              <w:spacing w:line="240" w:lineRule="auto"/>
            </w:pPr>
            <w:r>
              <w:t>goal x gender</w:t>
            </w:r>
          </w:p>
        </w:tc>
        <w:tc>
          <w:tcPr>
            <w:tcW w:w="1976" w:type="dxa"/>
          </w:tcPr>
          <w:p w14:paraId="01666707" w14:textId="77777777" w:rsidR="00A36647" w:rsidRDefault="00A36647" w:rsidP="00B17F95">
            <w:pPr>
              <w:pStyle w:val="examples"/>
              <w:keepNext/>
              <w:spacing w:line="240" w:lineRule="auto"/>
            </w:pPr>
          </w:p>
        </w:tc>
        <w:tc>
          <w:tcPr>
            <w:tcW w:w="1049" w:type="dxa"/>
          </w:tcPr>
          <w:p w14:paraId="508B3030" w14:textId="77777777" w:rsidR="00A36647" w:rsidRDefault="00A36647" w:rsidP="00B17F95">
            <w:pPr>
              <w:pStyle w:val="examples"/>
              <w:keepNext/>
              <w:spacing w:line="240" w:lineRule="auto"/>
            </w:pPr>
          </w:p>
        </w:tc>
        <w:tc>
          <w:tcPr>
            <w:tcW w:w="1126" w:type="dxa"/>
          </w:tcPr>
          <w:p w14:paraId="06C48792" w14:textId="77777777" w:rsidR="00A36647" w:rsidRDefault="00A36647" w:rsidP="00B17F95">
            <w:pPr>
              <w:pStyle w:val="examples"/>
              <w:keepNext/>
              <w:spacing w:line="240" w:lineRule="auto"/>
            </w:pPr>
          </w:p>
        </w:tc>
      </w:tr>
      <w:tr w:rsidR="00A36647" w14:paraId="3778D832" w14:textId="77777777" w:rsidTr="00A36647">
        <w:tc>
          <w:tcPr>
            <w:tcW w:w="3337" w:type="dxa"/>
          </w:tcPr>
          <w:p w14:paraId="38E964E7" w14:textId="77777777" w:rsidR="00A36647" w:rsidRDefault="00A36647" w:rsidP="00B17F95">
            <w:pPr>
              <w:pStyle w:val="examples"/>
              <w:keepNext/>
              <w:spacing w:line="240" w:lineRule="auto"/>
            </w:pPr>
            <w:r>
              <w:t>subject x gender</w:t>
            </w:r>
          </w:p>
        </w:tc>
        <w:tc>
          <w:tcPr>
            <w:tcW w:w="1976" w:type="dxa"/>
          </w:tcPr>
          <w:p w14:paraId="6CD0C682" w14:textId="77777777" w:rsidR="00A36647" w:rsidRDefault="00A36647" w:rsidP="00B17F95">
            <w:pPr>
              <w:pStyle w:val="examples"/>
              <w:keepNext/>
              <w:spacing w:line="240" w:lineRule="auto"/>
            </w:pPr>
          </w:p>
        </w:tc>
        <w:tc>
          <w:tcPr>
            <w:tcW w:w="1049" w:type="dxa"/>
          </w:tcPr>
          <w:p w14:paraId="205C6C34" w14:textId="77777777" w:rsidR="00A36647" w:rsidRDefault="00A36647" w:rsidP="00B17F95">
            <w:pPr>
              <w:pStyle w:val="examples"/>
              <w:keepNext/>
              <w:spacing w:line="240" w:lineRule="auto"/>
            </w:pPr>
          </w:p>
        </w:tc>
        <w:tc>
          <w:tcPr>
            <w:tcW w:w="1126" w:type="dxa"/>
          </w:tcPr>
          <w:p w14:paraId="14AFCDDA" w14:textId="77777777" w:rsidR="00A36647" w:rsidRDefault="00A36647" w:rsidP="00B17F95">
            <w:pPr>
              <w:pStyle w:val="examples"/>
              <w:keepNext/>
              <w:spacing w:line="240" w:lineRule="auto"/>
            </w:pPr>
          </w:p>
        </w:tc>
      </w:tr>
      <w:tr w:rsidR="00A36647" w14:paraId="3451C396" w14:textId="77777777" w:rsidTr="00A36647">
        <w:tc>
          <w:tcPr>
            <w:tcW w:w="3337" w:type="dxa"/>
          </w:tcPr>
          <w:p w14:paraId="320AD241" w14:textId="77777777" w:rsidR="00A36647" w:rsidRDefault="00A36647" w:rsidP="00B17F95">
            <w:pPr>
              <w:pStyle w:val="examples"/>
              <w:keepNext/>
              <w:spacing w:line="240" w:lineRule="auto"/>
            </w:pPr>
            <w:r>
              <w:t>subject x goal x gender</w:t>
            </w:r>
          </w:p>
        </w:tc>
        <w:tc>
          <w:tcPr>
            <w:tcW w:w="1976" w:type="dxa"/>
          </w:tcPr>
          <w:p w14:paraId="6430C427" w14:textId="77777777" w:rsidR="00A36647" w:rsidRDefault="00A36647" w:rsidP="00B17F95">
            <w:pPr>
              <w:pStyle w:val="examples"/>
              <w:keepNext/>
              <w:spacing w:line="240" w:lineRule="auto"/>
            </w:pPr>
            <w:r>
              <w:t>*</w:t>
            </w:r>
          </w:p>
        </w:tc>
        <w:tc>
          <w:tcPr>
            <w:tcW w:w="1049" w:type="dxa"/>
          </w:tcPr>
          <w:p w14:paraId="3DE20361" w14:textId="77777777" w:rsidR="00A36647" w:rsidRDefault="00A36647" w:rsidP="00B17F95">
            <w:pPr>
              <w:pStyle w:val="examples"/>
              <w:keepNext/>
              <w:spacing w:line="240" w:lineRule="auto"/>
            </w:pPr>
          </w:p>
        </w:tc>
        <w:tc>
          <w:tcPr>
            <w:tcW w:w="1126" w:type="dxa"/>
          </w:tcPr>
          <w:p w14:paraId="22A879B4" w14:textId="77777777" w:rsidR="00A36647" w:rsidRDefault="00A36647" w:rsidP="00B17F95">
            <w:pPr>
              <w:pStyle w:val="examples"/>
              <w:keepNext/>
              <w:spacing w:line="240" w:lineRule="auto"/>
            </w:pPr>
          </w:p>
        </w:tc>
      </w:tr>
    </w:tbl>
    <w:p w14:paraId="3FC91920" w14:textId="77777777" w:rsidR="008615B4" w:rsidRDefault="008615B4" w:rsidP="00B17F95">
      <w:pPr>
        <w:pStyle w:val="table"/>
        <w:keepNext/>
      </w:pPr>
      <w:r>
        <w:t>*** = p &lt; .001</w:t>
      </w:r>
    </w:p>
    <w:p w14:paraId="20D5ACFB" w14:textId="77777777" w:rsidR="008615B4" w:rsidRDefault="008615B4" w:rsidP="00B17F95">
      <w:pPr>
        <w:pStyle w:val="table"/>
        <w:keepNext/>
      </w:pPr>
      <w:r>
        <w:t>** = .001 &lt; p &lt; .01</w:t>
      </w:r>
    </w:p>
    <w:p w14:paraId="4059D02E" w14:textId="77777777" w:rsidR="008615B4" w:rsidRDefault="008615B4" w:rsidP="00B17F95">
      <w:pPr>
        <w:pStyle w:val="table"/>
        <w:keepNext/>
      </w:pPr>
      <w:r>
        <w:t>* = .01 &lt; p &lt; .05</w:t>
      </w:r>
    </w:p>
    <w:p w14:paraId="5F98C510" w14:textId="0B69AEEC" w:rsidR="00447EF6" w:rsidRDefault="000C703D" w:rsidP="00B17F95">
      <w:pPr>
        <w:pStyle w:val="table"/>
        <w:keepNext/>
      </w:pPr>
      <w:r>
        <w:t xml:space="preserve">(*) = .05 &lt; p &lt; </w:t>
      </w:r>
      <w:r w:rsidR="00D513B5">
        <w:t>0</w:t>
      </w:r>
      <w:r>
        <w:t>.1</w:t>
      </w:r>
    </w:p>
    <w:p w14:paraId="70685273" w14:textId="77777777" w:rsidR="00447EF6" w:rsidRDefault="00447EF6" w:rsidP="00B17F95">
      <w:pPr>
        <w:pStyle w:val="table"/>
        <w:keepNext/>
      </w:pPr>
    </w:p>
    <w:p w14:paraId="56B44704" w14:textId="6E0BBB86" w:rsidR="00CF4F6E" w:rsidRDefault="002E5F38" w:rsidP="008615B4">
      <w:pPr>
        <w:pStyle w:val="examples"/>
      </w:pPr>
      <w:r>
        <w:rPr>
          <w:lang w:val="it-IT" w:eastAsia="it-IT" w:bidi="bn-BD"/>
        </w:rPr>
        <w:drawing>
          <wp:inline distT="0" distB="0" distL="0" distR="0" wp14:anchorId="5325F3C6" wp14:editId="7205C293">
            <wp:extent cx="2678430" cy="2193290"/>
            <wp:effectExtent l="0" t="0" r="1397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lang w:val="it-IT" w:eastAsia="it-IT" w:bidi="bn-BD"/>
        </w:rPr>
        <w:drawing>
          <wp:inline distT="0" distB="0" distL="0" distR="0" wp14:anchorId="297FBBFD" wp14:editId="3215F310">
            <wp:extent cx="2817091" cy="2193290"/>
            <wp:effectExtent l="0" t="0" r="15240"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1FFC6E" w14:textId="089759BC" w:rsidR="008615B4" w:rsidRPr="00C22203" w:rsidRDefault="008615B4" w:rsidP="00C22203">
      <w:pPr>
        <w:pStyle w:val="examples"/>
        <w:rPr>
          <w:lang w:val="it-IT" w:eastAsia="it-IT" w:bidi="bn-BD"/>
        </w:rPr>
      </w:pPr>
      <w:r w:rsidRPr="00160871">
        <w:rPr>
          <w:lang w:val="it-IT" w:eastAsia="it-IT" w:bidi="bn-BD"/>
        </w:rPr>
        <w:t xml:space="preserve">Figure </w:t>
      </w:r>
      <w:r w:rsidR="00467667" w:rsidRPr="00160871">
        <w:rPr>
          <w:lang w:val="it-IT" w:eastAsia="it-IT" w:bidi="bn-BD"/>
        </w:rPr>
        <w:t>4</w:t>
      </w:r>
      <w:r w:rsidRPr="00160871">
        <w:rPr>
          <w:lang w:val="it-IT" w:eastAsia="it-IT" w:bidi="bn-BD"/>
        </w:rPr>
        <w:t>. Experiment</w:t>
      </w:r>
      <w:r>
        <w:rPr>
          <w:lang w:val="it-IT" w:eastAsia="it-IT" w:bidi="bn-BD"/>
        </w:rPr>
        <w:t xml:space="preserve"> 1: Average rate of using null and overt pronouns </w:t>
      </w:r>
      <w:r w:rsidR="00114172">
        <w:rPr>
          <w:lang w:val="it-IT" w:eastAsia="it-IT" w:bidi="bn-BD"/>
        </w:rPr>
        <w:t xml:space="preserve">by </w:t>
      </w:r>
      <w:r w:rsidR="00C22203">
        <w:rPr>
          <w:lang w:val="it-IT" w:eastAsia="it-IT" w:bidi="bn-BD"/>
        </w:rPr>
        <w:t xml:space="preserve">subjecthood </w:t>
      </w:r>
      <w:r w:rsidR="00114172">
        <w:rPr>
          <w:lang w:val="it-IT" w:eastAsia="it-IT" w:bidi="bn-BD"/>
        </w:rPr>
        <w:t>and</w:t>
      </w:r>
      <w:r w:rsidR="00C22203">
        <w:rPr>
          <w:lang w:val="it-IT" w:eastAsia="it-IT" w:bidi="bn-BD"/>
        </w:rPr>
        <w:t xml:space="preserve"> thematic role.</w:t>
      </w:r>
    </w:p>
    <w:p w14:paraId="4423EE03" w14:textId="6C494CC6" w:rsidR="008615B4" w:rsidRPr="00BE4007" w:rsidRDefault="008615B4" w:rsidP="008B5AA5">
      <w:pPr>
        <w:pStyle w:val="Heading3"/>
        <w:rPr>
          <w:lang w:eastAsia="en-US"/>
        </w:rPr>
      </w:pPr>
      <w:r w:rsidRPr="2EBC3AA5">
        <w:rPr>
          <w:lang w:eastAsia="en-US"/>
        </w:rPr>
        <w:t>Pronoun users vs. No-pronoun users</w:t>
      </w:r>
    </w:p>
    <w:p w14:paraId="03835BC1" w14:textId="5D70F38A" w:rsidR="008615B4" w:rsidRPr="001701B8" w:rsidRDefault="008615B4" w:rsidP="00C55514">
      <w:pPr>
        <w:pStyle w:val="body"/>
        <w:rPr>
          <w:lang w:eastAsia="en-US"/>
        </w:rPr>
      </w:pPr>
      <w:r w:rsidRPr="00A0123D">
        <w:rPr>
          <w:lang w:eastAsia="en-US"/>
        </w:rPr>
        <w:t>Out of our 4</w:t>
      </w:r>
      <w:r w:rsidR="009E42DE" w:rsidRPr="00A0123D">
        <w:rPr>
          <w:lang w:eastAsia="en-US"/>
        </w:rPr>
        <w:t>3</w:t>
      </w:r>
      <w:r w:rsidRPr="00A0123D">
        <w:rPr>
          <w:lang w:eastAsia="en-US"/>
        </w:rPr>
        <w:t xml:space="preserve"> participants, 1</w:t>
      </w:r>
      <w:r w:rsidR="009E42DE" w:rsidRPr="00A0123D">
        <w:rPr>
          <w:lang w:eastAsia="en-US"/>
        </w:rPr>
        <w:t>5</w:t>
      </w:r>
      <w:r w:rsidRPr="00A0123D">
        <w:rPr>
          <w:lang w:eastAsia="en-US"/>
        </w:rPr>
        <w:t xml:space="preserve"> (35%) used only </w:t>
      </w:r>
      <w:r w:rsidRPr="00A0123D">
        <w:rPr>
          <w:lang w:eastAsia="ja-JP"/>
        </w:rPr>
        <w:t>name/description</w:t>
      </w:r>
      <w:r w:rsidRPr="00A0123D">
        <w:rPr>
          <w:lang w:eastAsia="en-US"/>
        </w:rPr>
        <w:t xml:space="preserve"> and null pronouns, while 2</w:t>
      </w:r>
      <w:r w:rsidR="009E42DE" w:rsidRPr="00A0123D">
        <w:rPr>
          <w:lang w:eastAsia="en-US"/>
        </w:rPr>
        <w:t>8</w:t>
      </w:r>
      <w:r w:rsidRPr="00A0123D">
        <w:rPr>
          <w:lang w:eastAsia="en-US"/>
        </w:rPr>
        <w:t xml:space="preserve"> used all three </w:t>
      </w:r>
      <w:r w:rsidRPr="007A2FF8">
        <w:rPr>
          <w:lang w:eastAsia="en-US"/>
        </w:rPr>
        <w:t>forms. The pronoun-user group had a higher overall rate of using reduced forms (3</w:t>
      </w:r>
      <w:r w:rsidR="009E39B4" w:rsidRPr="007A2FF8">
        <w:rPr>
          <w:lang w:eastAsia="en-US"/>
        </w:rPr>
        <w:t>4</w:t>
      </w:r>
      <w:r w:rsidRPr="007A2FF8">
        <w:rPr>
          <w:lang w:eastAsia="en-US"/>
        </w:rPr>
        <w:t>% nulls; 17% overt pronouns) than the no-pronoun group (3</w:t>
      </w:r>
      <w:r w:rsidR="00887BF1" w:rsidRPr="007A2FF8">
        <w:rPr>
          <w:lang w:eastAsia="en-US"/>
        </w:rPr>
        <w:t>1</w:t>
      </w:r>
      <w:r w:rsidR="00D8509B" w:rsidRPr="007A2FF8">
        <w:rPr>
          <w:lang w:eastAsia="en-US"/>
        </w:rPr>
        <w:t>% nulls).</w:t>
      </w:r>
      <w:r w:rsidR="00C55514">
        <w:rPr>
          <w:lang w:eastAsia="en-US"/>
        </w:rPr>
        <w:t xml:space="preserve"> </w:t>
      </w:r>
      <w:r w:rsidRPr="2EBC3AA5">
        <w:rPr>
          <w:lang w:eastAsia="en-US"/>
        </w:rPr>
        <w:t xml:space="preserve">Table </w:t>
      </w:r>
      <w:r w:rsidR="004D0DF6">
        <w:rPr>
          <w:lang w:eastAsia="en-US"/>
        </w:rPr>
        <w:t>3</w:t>
      </w:r>
      <w:r w:rsidRPr="2EBC3AA5">
        <w:rPr>
          <w:lang w:eastAsia="en-US"/>
        </w:rPr>
        <w:t xml:space="preserve"> lists the number of participants by country who fell in each group. There are several </w:t>
      </w:r>
      <w:r w:rsidRPr="2EBC3AA5">
        <w:rPr>
          <w:lang w:eastAsia="en-US"/>
        </w:rPr>
        <w:lastRenderedPageBreak/>
        <w:t>countries (e.g., Spain and Mexico) with individuals who fall into both groups, suggesting that this variation is not entirely dialect-driven, and may be based on individual differences in how people respond to this task. This is consistent with the finding that English speakers also exhibit variability in whether they produce pronouns or continue the sentence with an elliptical form (e.g., …</w:t>
      </w:r>
      <w:r w:rsidRPr="2EBC3AA5">
        <w:rPr>
          <w:i/>
          <w:iCs/>
          <w:lang w:eastAsia="en-US"/>
        </w:rPr>
        <w:t>and threw the painting away;</w:t>
      </w:r>
      <w:r w:rsidR="00302436">
        <w:rPr>
          <w:lang w:eastAsia="en-US"/>
        </w:rPr>
        <w:t xml:space="preserve"> Zerkle &amp; Arnold, 2017</w:t>
      </w:r>
      <w:r w:rsidR="00D902FE">
        <w:rPr>
          <w:lang w:eastAsia="en-US"/>
        </w:rPr>
        <w:t>a</w:t>
      </w:r>
      <w:r w:rsidRPr="2EBC3AA5">
        <w:rPr>
          <w:lang w:eastAsia="en-US"/>
        </w:rPr>
        <w:t>).</w:t>
      </w:r>
    </w:p>
    <w:p w14:paraId="489AE39D" w14:textId="0062E268" w:rsidR="008615B4" w:rsidRDefault="008615B4" w:rsidP="00503D85">
      <w:pPr>
        <w:pStyle w:val="table"/>
        <w:keepNext/>
        <w:rPr>
          <w:lang w:eastAsia="en-US"/>
        </w:rPr>
      </w:pPr>
      <w:r w:rsidRPr="00D011E8">
        <w:rPr>
          <w:lang w:eastAsia="en-US"/>
        </w:rPr>
        <w:t xml:space="preserve">Table </w:t>
      </w:r>
      <w:r w:rsidR="004D0DF6">
        <w:rPr>
          <w:lang w:eastAsia="en-US"/>
        </w:rPr>
        <w:t>3</w:t>
      </w:r>
      <w:r w:rsidRPr="00D011E8">
        <w:rPr>
          <w:lang w:eastAsia="en-US"/>
        </w:rPr>
        <w:t>.</w:t>
      </w:r>
      <w:r>
        <w:rPr>
          <w:lang w:eastAsia="en-US"/>
        </w:rPr>
        <w:t xml:space="preserve">  Participants who used pronouns (or not) based on their location by country at time of participation.</w:t>
      </w:r>
    </w:p>
    <w:tbl>
      <w:tblPr>
        <w:tblStyle w:val="PlainTable41"/>
        <w:tblW w:w="5572" w:type="dxa"/>
        <w:tblLook w:val="04A0" w:firstRow="1" w:lastRow="0" w:firstColumn="1" w:lastColumn="0" w:noHBand="0" w:noVBand="1"/>
      </w:tblPr>
      <w:tblGrid>
        <w:gridCol w:w="2499"/>
        <w:gridCol w:w="338"/>
        <w:gridCol w:w="2397"/>
        <w:gridCol w:w="338"/>
      </w:tblGrid>
      <w:tr w:rsidR="0014140B" w:rsidRPr="0014140B" w14:paraId="4CF061C6" w14:textId="77777777" w:rsidTr="00C22203">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837" w:type="dxa"/>
            <w:gridSpan w:val="2"/>
            <w:tcBorders>
              <w:bottom w:val="single" w:sz="4" w:space="0" w:color="auto"/>
            </w:tcBorders>
            <w:noWrap/>
            <w:hideMark/>
          </w:tcPr>
          <w:p w14:paraId="11386ED2" w14:textId="77777777" w:rsidR="0014140B" w:rsidRPr="00A24553" w:rsidRDefault="0014140B" w:rsidP="00503D85">
            <w:pPr>
              <w:keepNext/>
              <w:spacing w:line="240" w:lineRule="auto"/>
              <w:rPr>
                <w:rFonts w:ascii="Calibri" w:hAnsi="Calibri"/>
                <w:color w:val="000000"/>
                <w:lang w:val="en-US" w:eastAsia="en-US"/>
              </w:rPr>
            </w:pPr>
            <w:r w:rsidRPr="00A24553">
              <w:rPr>
                <w:rFonts w:ascii="Calibri" w:hAnsi="Calibri"/>
                <w:color w:val="000000"/>
                <w:lang w:val="en-US" w:eastAsia="en-US"/>
              </w:rPr>
              <w:t>Pronoun users</w:t>
            </w:r>
          </w:p>
        </w:tc>
        <w:tc>
          <w:tcPr>
            <w:tcW w:w="2735" w:type="dxa"/>
            <w:gridSpan w:val="2"/>
            <w:noWrap/>
            <w:hideMark/>
          </w:tcPr>
          <w:p w14:paraId="56369488" w14:textId="77777777" w:rsidR="00A24553" w:rsidRDefault="0014140B" w:rsidP="00503D85">
            <w:pPr>
              <w:keepNext/>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000000"/>
                <w:lang w:val="en-US" w:eastAsia="en-US"/>
              </w:rPr>
            </w:pPr>
            <w:r w:rsidRPr="00A24553">
              <w:rPr>
                <w:rFonts w:ascii="Calibri" w:hAnsi="Calibri"/>
                <w:color w:val="000000"/>
                <w:lang w:val="en-US" w:eastAsia="en-US"/>
              </w:rPr>
              <w:t>No-pronoun users</w:t>
            </w:r>
          </w:p>
          <w:p w14:paraId="3D003B51" w14:textId="57579687" w:rsidR="00A24553" w:rsidRPr="00A24553" w:rsidRDefault="00A24553" w:rsidP="00503D85">
            <w:pPr>
              <w:keepNext/>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000000"/>
                <w:lang w:val="en-US" w:eastAsia="en-US"/>
              </w:rPr>
            </w:pPr>
          </w:p>
        </w:tc>
      </w:tr>
      <w:tr w:rsidR="0014140B" w:rsidRPr="0014140B" w14:paraId="69BD890E" w14:textId="77777777" w:rsidTr="00A2455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9" w:type="dxa"/>
            <w:tcBorders>
              <w:top w:val="single" w:sz="4" w:space="0" w:color="auto"/>
            </w:tcBorders>
            <w:noWrap/>
            <w:hideMark/>
          </w:tcPr>
          <w:p w14:paraId="3CE3D07B" w14:textId="77777777" w:rsidR="0014140B" w:rsidRPr="005C671A" w:rsidRDefault="0014140B" w:rsidP="00503D85">
            <w:pPr>
              <w:keepNext/>
              <w:spacing w:line="240" w:lineRule="auto"/>
              <w:rPr>
                <w:rFonts w:ascii="Calibri" w:hAnsi="Calibri"/>
                <w:b w:val="0"/>
                <w:color w:val="000000"/>
                <w:lang w:val="en-US" w:eastAsia="en-US"/>
              </w:rPr>
            </w:pPr>
            <w:r w:rsidRPr="005C671A">
              <w:rPr>
                <w:rFonts w:ascii="Calibri" w:hAnsi="Calibri"/>
                <w:b w:val="0"/>
                <w:color w:val="000000"/>
                <w:lang w:val="en-US" w:eastAsia="en-US"/>
              </w:rPr>
              <w:t>Argentina</w:t>
            </w:r>
          </w:p>
        </w:tc>
        <w:tc>
          <w:tcPr>
            <w:tcW w:w="338" w:type="dxa"/>
            <w:tcBorders>
              <w:top w:val="single" w:sz="4" w:space="0" w:color="auto"/>
            </w:tcBorders>
            <w:noWrap/>
            <w:hideMark/>
          </w:tcPr>
          <w:p w14:paraId="0AC1D993" w14:textId="77777777" w:rsidR="0014140B" w:rsidRPr="005C671A" w:rsidRDefault="0014140B" w:rsidP="00503D85">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3</w:t>
            </w:r>
          </w:p>
        </w:tc>
        <w:tc>
          <w:tcPr>
            <w:tcW w:w="2397" w:type="dxa"/>
            <w:tcBorders>
              <w:top w:val="single" w:sz="4" w:space="0" w:color="auto"/>
            </w:tcBorders>
            <w:noWrap/>
            <w:hideMark/>
          </w:tcPr>
          <w:p w14:paraId="49C49C8A" w14:textId="77777777" w:rsidR="0014140B" w:rsidRPr="005C671A" w:rsidRDefault="0014140B" w:rsidP="00503D85">
            <w:pPr>
              <w:keepNext/>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Argentina</w:t>
            </w:r>
          </w:p>
        </w:tc>
        <w:tc>
          <w:tcPr>
            <w:tcW w:w="338" w:type="dxa"/>
            <w:tcBorders>
              <w:top w:val="single" w:sz="4" w:space="0" w:color="auto"/>
            </w:tcBorders>
            <w:noWrap/>
            <w:hideMark/>
          </w:tcPr>
          <w:p w14:paraId="16B6468F" w14:textId="77777777" w:rsidR="0014140B" w:rsidRPr="0014140B" w:rsidRDefault="0014140B" w:rsidP="00503D85">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14140B">
              <w:rPr>
                <w:rFonts w:ascii="Calibri" w:hAnsi="Calibri"/>
                <w:color w:val="000000"/>
                <w:lang w:val="en-US" w:eastAsia="en-US"/>
              </w:rPr>
              <w:t>1</w:t>
            </w:r>
          </w:p>
        </w:tc>
      </w:tr>
      <w:tr w:rsidR="0014140B" w:rsidRPr="0014140B" w14:paraId="164F91DF" w14:textId="77777777" w:rsidTr="00A24553">
        <w:trPr>
          <w:trHeight w:val="32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73FC544" w14:textId="77777777" w:rsidR="0014140B" w:rsidRPr="005C671A" w:rsidRDefault="0014140B" w:rsidP="00503D85">
            <w:pPr>
              <w:keepNext/>
              <w:spacing w:line="240" w:lineRule="auto"/>
              <w:rPr>
                <w:rFonts w:ascii="Calibri" w:hAnsi="Calibri"/>
                <w:b w:val="0"/>
                <w:color w:val="000000"/>
                <w:lang w:val="en-US" w:eastAsia="en-US"/>
              </w:rPr>
            </w:pPr>
            <w:r w:rsidRPr="005C671A">
              <w:rPr>
                <w:rFonts w:ascii="Calibri" w:hAnsi="Calibri"/>
                <w:b w:val="0"/>
                <w:color w:val="000000"/>
                <w:lang w:val="en-US" w:eastAsia="en-US"/>
              </w:rPr>
              <w:t>Chile</w:t>
            </w:r>
          </w:p>
        </w:tc>
        <w:tc>
          <w:tcPr>
            <w:tcW w:w="338" w:type="dxa"/>
            <w:noWrap/>
            <w:hideMark/>
          </w:tcPr>
          <w:p w14:paraId="547F79C0" w14:textId="77777777" w:rsidR="0014140B" w:rsidRPr="005C671A" w:rsidRDefault="0014140B" w:rsidP="00503D85">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2</w:t>
            </w:r>
          </w:p>
        </w:tc>
        <w:tc>
          <w:tcPr>
            <w:tcW w:w="2397" w:type="dxa"/>
            <w:noWrap/>
            <w:hideMark/>
          </w:tcPr>
          <w:p w14:paraId="396E8F7F" w14:textId="77777777" w:rsidR="0014140B" w:rsidRPr="005C671A" w:rsidRDefault="0014140B" w:rsidP="00503D85">
            <w:pPr>
              <w:keepNext/>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Colombia</w:t>
            </w:r>
          </w:p>
        </w:tc>
        <w:tc>
          <w:tcPr>
            <w:tcW w:w="338" w:type="dxa"/>
            <w:noWrap/>
            <w:hideMark/>
          </w:tcPr>
          <w:p w14:paraId="6183BF52" w14:textId="77777777" w:rsidR="0014140B" w:rsidRPr="0014140B" w:rsidRDefault="0014140B" w:rsidP="00503D85">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14140B">
              <w:rPr>
                <w:rFonts w:ascii="Calibri" w:hAnsi="Calibri"/>
                <w:color w:val="000000"/>
                <w:lang w:val="en-US" w:eastAsia="en-US"/>
              </w:rPr>
              <w:t>1</w:t>
            </w:r>
          </w:p>
        </w:tc>
      </w:tr>
      <w:tr w:rsidR="0014140B" w:rsidRPr="0014140B" w14:paraId="3A330806" w14:textId="77777777" w:rsidTr="00A245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59BCCC4" w14:textId="77777777" w:rsidR="0014140B" w:rsidRPr="005C671A" w:rsidRDefault="0014140B" w:rsidP="00503D85">
            <w:pPr>
              <w:keepNext/>
              <w:spacing w:line="240" w:lineRule="auto"/>
              <w:rPr>
                <w:rFonts w:ascii="Calibri" w:hAnsi="Calibri"/>
                <w:b w:val="0"/>
                <w:color w:val="000000"/>
                <w:lang w:val="en-US" w:eastAsia="en-US"/>
              </w:rPr>
            </w:pPr>
            <w:r w:rsidRPr="005C671A">
              <w:rPr>
                <w:rFonts w:ascii="Calibri" w:hAnsi="Calibri"/>
                <w:b w:val="0"/>
                <w:color w:val="000000"/>
                <w:lang w:val="en-US" w:eastAsia="en-US"/>
              </w:rPr>
              <w:t>Costa Rica</w:t>
            </w:r>
          </w:p>
        </w:tc>
        <w:tc>
          <w:tcPr>
            <w:tcW w:w="338" w:type="dxa"/>
            <w:noWrap/>
            <w:hideMark/>
          </w:tcPr>
          <w:p w14:paraId="450B29E2" w14:textId="77777777" w:rsidR="0014140B" w:rsidRPr="005C671A" w:rsidRDefault="0014140B" w:rsidP="00503D85">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1</w:t>
            </w:r>
          </w:p>
        </w:tc>
        <w:tc>
          <w:tcPr>
            <w:tcW w:w="2397" w:type="dxa"/>
            <w:noWrap/>
            <w:hideMark/>
          </w:tcPr>
          <w:p w14:paraId="5852A329" w14:textId="77777777" w:rsidR="0014140B" w:rsidRPr="005C671A" w:rsidRDefault="0014140B" w:rsidP="00503D85">
            <w:pPr>
              <w:keepNext/>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Costa Rica</w:t>
            </w:r>
          </w:p>
        </w:tc>
        <w:tc>
          <w:tcPr>
            <w:tcW w:w="338" w:type="dxa"/>
            <w:noWrap/>
            <w:hideMark/>
          </w:tcPr>
          <w:p w14:paraId="754A307C" w14:textId="77777777" w:rsidR="0014140B" w:rsidRPr="0014140B" w:rsidRDefault="0014140B" w:rsidP="00503D85">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14140B">
              <w:rPr>
                <w:rFonts w:ascii="Calibri" w:hAnsi="Calibri"/>
                <w:color w:val="000000"/>
                <w:lang w:val="en-US" w:eastAsia="en-US"/>
              </w:rPr>
              <w:t>1</w:t>
            </w:r>
          </w:p>
        </w:tc>
      </w:tr>
      <w:tr w:rsidR="0014140B" w:rsidRPr="0014140B" w14:paraId="7EBA7CCA" w14:textId="77777777" w:rsidTr="00A24553">
        <w:trPr>
          <w:trHeight w:val="32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2C79523" w14:textId="77777777" w:rsidR="0014140B" w:rsidRPr="005C671A" w:rsidRDefault="0014140B" w:rsidP="00503D85">
            <w:pPr>
              <w:keepNext/>
              <w:spacing w:line="240" w:lineRule="auto"/>
              <w:rPr>
                <w:rFonts w:ascii="Calibri" w:hAnsi="Calibri"/>
                <w:b w:val="0"/>
                <w:color w:val="000000"/>
                <w:lang w:val="en-US" w:eastAsia="en-US"/>
              </w:rPr>
            </w:pPr>
            <w:r w:rsidRPr="005C671A">
              <w:rPr>
                <w:rFonts w:ascii="Calibri" w:hAnsi="Calibri"/>
                <w:b w:val="0"/>
                <w:color w:val="000000"/>
                <w:lang w:val="en-US" w:eastAsia="en-US"/>
              </w:rPr>
              <w:t>Dominican Republic</w:t>
            </w:r>
          </w:p>
        </w:tc>
        <w:tc>
          <w:tcPr>
            <w:tcW w:w="338" w:type="dxa"/>
            <w:noWrap/>
            <w:hideMark/>
          </w:tcPr>
          <w:p w14:paraId="4DB13A14" w14:textId="77777777" w:rsidR="0014140B" w:rsidRPr="005C671A" w:rsidRDefault="0014140B" w:rsidP="00503D85">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1</w:t>
            </w:r>
          </w:p>
        </w:tc>
        <w:tc>
          <w:tcPr>
            <w:tcW w:w="2397" w:type="dxa"/>
            <w:noWrap/>
            <w:hideMark/>
          </w:tcPr>
          <w:p w14:paraId="230DED5B" w14:textId="77777777" w:rsidR="0014140B" w:rsidRPr="005C671A" w:rsidRDefault="0014140B" w:rsidP="00503D85">
            <w:pPr>
              <w:keepNext/>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Ecuador</w:t>
            </w:r>
          </w:p>
        </w:tc>
        <w:tc>
          <w:tcPr>
            <w:tcW w:w="338" w:type="dxa"/>
            <w:noWrap/>
            <w:hideMark/>
          </w:tcPr>
          <w:p w14:paraId="68577899" w14:textId="77777777" w:rsidR="0014140B" w:rsidRPr="0014140B" w:rsidRDefault="0014140B" w:rsidP="00503D85">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14140B">
              <w:rPr>
                <w:rFonts w:ascii="Calibri" w:hAnsi="Calibri"/>
                <w:color w:val="000000"/>
                <w:lang w:val="en-US" w:eastAsia="en-US"/>
              </w:rPr>
              <w:t>1</w:t>
            </w:r>
          </w:p>
        </w:tc>
      </w:tr>
      <w:tr w:rsidR="0014140B" w:rsidRPr="0014140B" w14:paraId="3890AFB8" w14:textId="77777777" w:rsidTr="00A245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3525136" w14:textId="77777777" w:rsidR="0014140B" w:rsidRPr="005C671A" w:rsidRDefault="0014140B" w:rsidP="00503D85">
            <w:pPr>
              <w:keepNext/>
              <w:spacing w:line="240" w:lineRule="auto"/>
              <w:rPr>
                <w:rFonts w:ascii="Calibri" w:hAnsi="Calibri"/>
                <w:b w:val="0"/>
                <w:color w:val="000000"/>
                <w:lang w:val="en-US" w:eastAsia="en-US"/>
              </w:rPr>
            </w:pPr>
            <w:r w:rsidRPr="005C671A">
              <w:rPr>
                <w:rFonts w:ascii="Calibri" w:hAnsi="Calibri"/>
                <w:b w:val="0"/>
                <w:color w:val="000000"/>
                <w:lang w:val="en-US" w:eastAsia="en-US"/>
              </w:rPr>
              <w:t>El Salvador</w:t>
            </w:r>
          </w:p>
        </w:tc>
        <w:tc>
          <w:tcPr>
            <w:tcW w:w="338" w:type="dxa"/>
            <w:noWrap/>
            <w:hideMark/>
          </w:tcPr>
          <w:p w14:paraId="180259F7" w14:textId="77777777" w:rsidR="0014140B" w:rsidRPr="005C671A" w:rsidRDefault="0014140B" w:rsidP="00503D85">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1</w:t>
            </w:r>
          </w:p>
        </w:tc>
        <w:tc>
          <w:tcPr>
            <w:tcW w:w="2397" w:type="dxa"/>
            <w:noWrap/>
            <w:hideMark/>
          </w:tcPr>
          <w:p w14:paraId="2D4207F0" w14:textId="77777777" w:rsidR="0014140B" w:rsidRPr="005C671A" w:rsidRDefault="0014140B" w:rsidP="00503D85">
            <w:pPr>
              <w:keepNext/>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Guatemala</w:t>
            </w:r>
          </w:p>
        </w:tc>
        <w:tc>
          <w:tcPr>
            <w:tcW w:w="338" w:type="dxa"/>
            <w:noWrap/>
            <w:hideMark/>
          </w:tcPr>
          <w:p w14:paraId="5937464C" w14:textId="77777777" w:rsidR="0014140B" w:rsidRPr="0014140B" w:rsidRDefault="0014140B" w:rsidP="00503D85">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14140B">
              <w:rPr>
                <w:rFonts w:ascii="Calibri" w:hAnsi="Calibri"/>
                <w:color w:val="000000"/>
                <w:lang w:val="en-US" w:eastAsia="en-US"/>
              </w:rPr>
              <w:t>1</w:t>
            </w:r>
          </w:p>
        </w:tc>
      </w:tr>
      <w:tr w:rsidR="0014140B" w:rsidRPr="0014140B" w14:paraId="53220823" w14:textId="77777777" w:rsidTr="00A24553">
        <w:trPr>
          <w:trHeight w:val="32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1B20514" w14:textId="77777777" w:rsidR="0014140B" w:rsidRPr="005C671A" w:rsidRDefault="0014140B" w:rsidP="00503D85">
            <w:pPr>
              <w:keepNext/>
              <w:spacing w:line="240" w:lineRule="auto"/>
              <w:rPr>
                <w:rFonts w:ascii="Calibri" w:hAnsi="Calibri"/>
                <w:b w:val="0"/>
                <w:color w:val="000000"/>
                <w:lang w:val="en-US" w:eastAsia="en-US"/>
              </w:rPr>
            </w:pPr>
            <w:r w:rsidRPr="005C671A">
              <w:rPr>
                <w:rFonts w:ascii="Calibri" w:hAnsi="Calibri"/>
                <w:b w:val="0"/>
                <w:color w:val="000000"/>
                <w:lang w:val="en-US" w:eastAsia="en-US"/>
              </w:rPr>
              <w:t>Guatemala</w:t>
            </w:r>
          </w:p>
        </w:tc>
        <w:tc>
          <w:tcPr>
            <w:tcW w:w="338" w:type="dxa"/>
            <w:noWrap/>
            <w:hideMark/>
          </w:tcPr>
          <w:p w14:paraId="4579A4EF" w14:textId="77777777" w:rsidR="0014140B" w:rsidRPr="005C671A" w:rsidRDefault="0014140B" w:rsidP="00503D85">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1</w:t>
            </w:r>
          </w:p>
        </w:tc>
        <w:tc>
          <w:tcPr>
            <w:tcW w:w="2397" w:type="dxa"/>
            <w:noWrap/>
            <w:hideMark/>
          </w:tcPr>
          <w:p w14:paraId="66B94867" w14:textId="77777777" w:rsidR="0014140B" w:rsidRPr="005C671A" w:rsidRDefault="0014140B" w:rsidP="00503D85">
            <w:pPr>
              <w:keepNext/>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Mexico</w:t>
            </w:r>
          </w:p>
        </w:tc>
        <w:tc>
          <w:tcPr>
            <w:tcW w:w="338" w:type="dxa"/>
            <w:noWrap/>
            <w:hideMark/>
          </w:tcPr>
          <w:p w14:paraId="6D1B809D" w14:textId="77777777" w:rsidR="0014140B" w:rsidRPr="0014140B" w:rsidRDefault="0014140B" w:rsidP="00503D85">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14140B">
              <w:rPr>
                <w:rFonts w:ascii="Calibri" w:hAnsi="Calibri"/>
                <w:color w:val="000000"/>
                <w:lang w:val="en-US" w:eastAsia="en-US"/>
              </w:rPr>
              <w:t>2</w:t>
            </w:r>
          </w:p>
        </w:tc>
      </w:tr>
      <w:tr w:rsidR="0014140B" w:rsidRPr="0014140B" w14:paraId="25124EAC" w14:textId="77777777" w:rsidTr="00A245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B9EFF5B" w14:textId="77777777" w:rsidR="0014140B" w:rsidRPr="005C671A" w:rsidRDefault="0014140B" w:rsidP="00503D85">
            <w:pPr>
              <w:spacing w:line="240" w:lineRule="auto"/>
              <w:rPr>
                <w:rFonts w:ascii="Calibri" w:hAnsi="Calibri"/>
                <w:b w:val="0"/>
                <w:color w:val="000000"/>
                <w:lang w:val="en-US" w:eastAsia="en-US"/>
              </w:rPr>
            </w:pPr>
            <w:r w:rsidRPr="005C671A">
              <w:rPr>
                <w:rFonts w:ascii="Calibri" w:hAnsi="Calibri"/>
                <w:b w:val="0"/>
                <w:color w:val="000000"/>
                <w:lang w:val="en-US" w:eastAsia="en-US"/>
              </w:rPr>
              <w:t>Mexico</w:t>
            </w:r>
          </w:p>
        </w:tc>
        <w:tc>
          <w:tcPr>
            <w:tcW w:w="338" w:type="dxa"/>
            <w:noWrap/>
            <w:hideMark/>
          </w:tcPr>
          <w:p w14:paraId="7DB71B53" w14:textId="77777777" w:rsidR="0014140B" w:rsidRPr="005C671A" w:rsidRDefault="0014140B" w:rsidP="00503D85">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6</w:t>
            </w:r>
          </w:p>
        </w:tc>
        <w:tc>
          <w:tcPr>
            <w:tcW w:w="2397" w:type="dxa"/>
            <w:noWrap/>
            <w:hideMark/>
          </w:tcPr>
          <w:p w14:paraId="74A0341D" w14:textId="77777777" w:rsidR="0014140B" w:rsidRPr="005C671A" w:rsidRDefault="0014140B" w:rsidP="00503D8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Puerto Rico</w:t>
            </w:r>
          </w:p>
        </w:tc>
        <w:tc>
          <w:tcPr>
            <w:tcW w:w="338" w:type="dxa"/>
            <w:noWrap/>
            <w:hideMark/>
          </w:tcPr>
          <w:p w14:paraId="40FC2B34" w14:textId="77777777" w:rsidR="0014140B" w:rsidRPr="0014140B" w:rsidRDefault="0014140B" w:rsidP="00503D85">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14140B">
              <w:rPr>
                <w:rFonts w:ascii="Calibri" w:hAnsi="Calibri"/>
                <w:color w:val="000000"/>
                <w:lang w:val="en-US" w:eastAsia="en-US"/>
              </w:rPr>
              <w:t>2</w:t>
            </w:r>
          </w:p>
        </w:tc>
      </w:tr>
      <w:tr w:rsidR="0014140B" w:rsidRPr="0014140B" w14:paraId="676E30EE" w14:textId="77777777" w:rsidTr="00A24553">
        <w:trPr>
          <w:trHeight w:val="344"/>
        </w:trPr>
        <w:tc>
          <w:tcPr>
            <w:cnfStyle w:val="001000000000" w:firstRow="0" w:lastRow="0" w:firstColumn="1" w:lastColumn="0" w:oddVBand="0" w:evenVBand="0" w:oddHBand="0" w:evenHBand="0" w:firstRowFirstColumn="0" w:firstRowLastColumn="0" w:lastRowFirstColumn="0" w:lastRowLastColumn="0"/>
            <w:tcW w:w="2499" w:type="dxa"/>
            <w:noWrap/>
            <w:hideMark/>
          </w:tcPr>
          <w:p w14:paraId="4A60DBB9" w14:textId="77777777" w:rsidR="0014140B" w:rsidRPr="005C671A" w:rsidRDefault="0014140B" w:rsidP="00503D85">
            <w:pPr>
              <w:spacing w:line="240" w:lineRule="auto"/>
              <w:rPr>
                <w:rFonts w:ascii="Calibri" w:hAnsi="Calibri"/>
                <w:b w:val="0"/>
                <w:color w:val="000000"/>
                <w:lang w:val="en-US" w:eastAsia="en-US"/>
              </w:rPr>
            </w:pPr>
            <w:r w:rsidRPr="005C671A">
              <w:rPr>
                <w:rFonts w:ascii="Calibri" w:hAnsi="Calibri"/>
                <w:b w:val="0"/>
                <w:color w:val="000000"/>
                <w:lang w:val="en-US" w:eastAsia="en-US"/>
              </w:rPr>
              <w:t>Panama</w:t>
            </w:r>
          </w:p>
        </w:tc>
        <w:tc>
          <w:tcPr>
            <w:tcW w:w="338" w:type="dxa"/>
            <w:noWrap/>
            <w:hideMark/>
          </w:tcPr>
          <w:p w14:paraId="00DA2DBD" w14:textId="77777777" w:rsidR="0014140B" w:rsidRPr="005C671A" w:rsidRDefault="0014140B" w:rsidP="00503D85">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1</w:t>
            </w:r>
          </w:p>
        </w:tc>
        <w:tc>
          <w:tcPr>
            <w:tcW w:w="2397" w:type="dxa"/>
            <w:noWrap/>
            <w:hideMark/>
          </w:tcPr>
          <w:p w14:paraId="4D1963DB" w14:textId="77777777" w:rsidR="0014140B" w:rsidRPr="005C671A" w:rsidRDefault="0014140B" w:rsidP="00503D8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Spain</w:t>
            </w:r>
          </w:p>
        </w:tc>
        <w:tc>
          <w:tcPr>
            <w:tcW w:w="338" w:type="dxa"/>
            <w:noWrap/>
            <w:hideMark/>
          </w:tcPr>
          <w:p w14:paraId="6218AB3D" w14:textId="77777777" w:rsidR="0014140B" w:rsidRPr="0014140B" w:rsidRDefault="0014140B" w:rsidP="00503D85">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14140B">
              <w:rPr>
                <w:rFonts w:ascii="Calibri" w:hAnsi="Calibri"/>
                <w:color w:val="000000"/>
                <w:lang w:val="en-US" w:eastAsia="en-US"/>
              </w:rPr>
              <w:t>6</w:t>
            </w:r>
          </w:p>
        </w:tc>
      </w:tr>
      <w:tr w:rsidR="00F86532" w:rsidRPr="0014140B" w14:paraId="6BDA531E" w14:textId="77777777" w:rsidTr="00A245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957F846" w14:textId="77777777" w:rsidR="00F86532" w:rsidRPr="005C671A" w:rsidRDefault="00F86532" w:rsidP="00503D85">
            <w:pPr>
              <w:spacing w:line="240" w:lineRule="auto"/>
              <w:rPr>
                <w:rFonts w:ascii="Calibri" w:hAnsi="Calibri"/>
                <w:b w:val="0"/>
                <w:color w:val="000000"/>
                <w:lang w:val="en-US" w:eastAsia="en-US"/>
              </w:rPr>
            </w:pPr>
            <w:r w:rsidRPr="005C671A">
              <w:rPr>
                <w:rFonts w:ascii="Calibri" w:hAnsi="Calibri"/>
                <w:b w:val="0"/>
                <w:color w:val="000000"/>
                <w:lang w:val="en-US" w:eastAsia="en-US"/>
              </w:rPr>
              <w:t>Peru</w:t>
            </w:r>
          </w:p>
        </w:tc>
        <w:tc>
          <w:tcPr>
            <w:tcW w:w="338" w:type="dxa"/>
            <w:noWrap/>
            <w:hideMark/>
          </w:tcPr>
          <w:p w14:paraId="0EDC58CB" w14:textId="4DEA3F63" w:rsidR="00F86532" w:rsidRPr="005C671A" w:rsidRDefault="00C22203" w:rsidP="00503D85">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3</w:t>
            </w:r>
          </w:p>
        </w:tc>
        <w:tc>
          <w:tcPr>
            <w:tcW w:w="2397" w:type="dxa"/>
            <w:noWrap/>
          </w:tcPr>
          <w:p w14:paraId="36472289" w14:textId="44A96DA4" w:rsidR="00F86532" w:rsidRPr="005C671A" w:rsidRDefault="00F86532" w:rsidP="00503D85">
            <w:pPr>
              <w:spacing w:line="240" w:lineRule="auto"/>
              <w:cnfStyle w:val="000000100000" w:firstRow="0" w:lastRow="0" w:firstColumn="0" w:lastColumn="0" w:oddVBand="0" w:evenVBand="0" w:oddHBand="1" w:evenHBand="0" w:firstRowFirstColumn="0" w:firstRowLastColumn="0" w:lastRowFirstColumn="0" w:lastRowLastColumn="0"/>
              <w:rPr>
                <w:color w:val="000000"/>
                <w:sz w:val="22"/>
                <w:szCs w:val="22"/>
                <w:lang w:val="en-US" w:eastAsia="en-US"/>
              </w:rPr>
            </w:pPr>
            <w:r w:rsidRPr="005C671A">
              <w:rPr>
                <w:color w:val="000000"/>
                <w:sz w:val="22"/>
                <w:szCs w:val="22"/>
                <w:lang w:val="en-US" w:eastAsia="en-US"/>
              </w:rPr>
              <w:t> </w:t>
            </w:r>
          </w:p>
        </w:tc>
        <w:tc>
          <w:tcPr>
            <w:tcW w:w="338" w:type="dxa"/>
            <w:noWrap/>
            <w:hideMark/>
          </w:tcPr>
          <w:p w14:paraId="6204C3D9" w14:textId="77777777" w:rsidR="00F86532" w:rsidRPr="0014140B" w:rsidRDefault="00F86532" w:rsidP="00503D85">
            <w:pPr>
              <w:spacing w:line="240" w:lineRule="auto"/>
              <w:cnfStyle w:val="000000100000" w:firstRow="0" w:lastRow="0" w:firstColumn="0" w:lastColumn="0" w:oddVBand="0" w:evenVBand="0" w:oddHBand="1" w:evenHBand="0" w:firstRowFirstColumn="0" w:firstRowLastColumn="0" w:lastRowFirstColumn="0" w:lastRowLastColumn="0"/>
              <w:rPr>
                <w:color w:val="000000"/>
                <w:sz w:val="22"/>
                <w:szCs w:val="22"/>
                <w:lang w:val="en-US" w:eastAsia="en-US"/>
              </w:rPr>
            </w:pPr>
            <w:r w:rsidRPr="0014140B">
              <w:rPr>
                <w:color w:val="000000"/>
                <w:sz w:val="22"/>
                <w:szCs w:val="22"/>
                <w:lang w:val="en-US" w:eastAsia="en-US"/>
              </w:rPr>
              <w:t> </w:t>
            </w:r>
          </w:p>
        </w:tc>
      </w:tr>
      <w:tr w:rsidR="00F86532" w:rsidRPr="0014140B" w14:paraId="44FAFBAC" w14:textId="77777777" w:rsidTr="00A24553">
        <w:trPr>
          <w:trHeight w:val="344"/>
        </w:trPr>
        <w:tc>
          <w:tcPr>
            <w:cnfStyle w:val="001000000000" w:firstRow="0" w:lastRow="0" w:firstColumn="1" w:lastColumn="0" w:oddVBand="0" w:evenVBand="0" w:oddHBand="0" w:evenHBand="0" w:firstRowFirstColumn="0" w:firstRowLastColumn="0" w:lastRowFirstColumn="0" w:lastRowLastColumn="0"/>
            <w:tcW w:w="2499" w:type="dxa"/>
            <w:noWrap/>
            <w:hideMark/>
          </w:tcPr>
          <w:p w14:paraId="31B38655" w14:textId="77777777" w:rsidR="00F86532" w:rsidRPr="005C671A" w:rsidRDefault="00F86532" w:rsidP="00503D85">
            <w:pPr>
              <w:spacing w:line="240" w:lineRule="auto"/>
              <w:rPr>
                <w:rFonts w:ascii="Calibri" w:hAnsi="Calibri"/>
                <w:b w:val="0"/>
                <w:color w:val="000000"/>
                <w:lang w:val="en-US" w:eastAsia="en-US"/>
              </w:rPr>
            </w:pPr>
            <w:r w:rsidRPr="005C671A">
              <w:rPr>
                <w:rFonts w:ascii="Calibri" w:hAnsi="Calibri"/>
                <w:b w:val="0"/>
                <w:color w:val="000000"/>
                <w:lang w:val="en-US" w:eastAsia="en-US"/>
              </w:rPr>
              <w:t>Puerto Rico</w:t>
            </w:r>
          </w:p>
        </w:tc>
        <w:tc>
          <w:tcPr>
            <w:tcW w:w="338" w:type="dxa"/>
            <w:noWrap/>
            <w:hideMark/>
          </w:tcPr>
          <w:p w14:paraId="4F353C07" w14:textId="77777777" w:rsidR="00F86532" w:rsidRPr="005C671A" w:rsidRDefault="00F86532" w:rsidP="00503D85">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2</w:t>
            </w:r>
          </w:p>
        </w:tc>
        <w:tc>
          <w:tcPr>
            <w:tcW w:w="2397" w:type="dxa"/>
            <w:noWrap/>
          </w:tcPr>
          <w:p w14:paraId="484CA784" w14:textId="77777777" w:rsidR="00F86532" w:rsidRPr="005C671A" w:rsidRDefault="00F86532" w:rsidP="00503D85">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p>
        </w:tc>
        <w:tc>
          <w:tcPr>
            <w:tcW w:w="338" w:type="dxa"/>
            <w:noWrap/>
            <w:hideMark/>
          </w:tcPr>
          <w:p w14:paraId="3FC35E07" w14:textId="77777777" w:rsidR="00F86532" w:rsidRPr="0014140B" w:rsidRDefault="00F86532" w:rsidP="00503D85">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US" w:eastAsia="en-US"/>
              </w:rPr>
            </w:pPr>
          </w:p>
        </w:tc>
      </w:tr>
      <w:tr w:rsidR="00F86532" w:rsidRPr="0014140B" w14:paraId="2EF5CF40" w14:textId="77777777" w:rsidTr="00A245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6B95DA1C" w14:textId="77777777" w:rsidR="00F86532" w:rsidRPr="005C671A" w:rsidRDefault="00F86532" w:rsidP="00503D85">
            <w:pPr>
              <w:spacing w:line="240" w:lineRule="auto"/>
              <w:rPr>
                <w:rFonts w:ascii="Calibri" w:hAnsi="Calibri"/>
                <w:b w:val="0"/>
                <w:color w:val="000000"/>
                <w:lang w:val="en-US" w:eastAsia="en-US"/>
              </w:rPr>
            </w:pPr>
            <w:r w:rsidRPr="005C671A">
              <w:rPr>
                <w:rFonts w:ascii="Calibri" w:hAnsi="Calibri"/>
                <w:b w:val="0"/>
                <w:color w:val="000000"/>
                <w:lang w:val="en-US" w:eastAsia="en-US"/>
              </w:rPr>
              <w:t>Spain</w:t>
            </w:r>
          </w:p>
        </w:tc>
        <w:tc>
          <w:tcPr>
            <w:tcW w:w="338" w:type="dxa"/>
            <w:noWrap/>
            <w:hideMark/>
          </w:tcPr>
          <w:p w14:paraId="6EDD6233" w14:textId="77777777" w:rsidR="00F86532" w:rsidRPr="005C671A" w:rsidRDefault="00F86532" w:rsidP="00503D85">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2</w:t>
            </w:r>
          </w:p>
        </w:tc>
        <w:tc>
          <w:tcPr>
            <w:tcW w:w="2397" w:type="dxa"/>
            <w:noWrap/>
          </w:tcPr>
          <w:p w14:paraId="3E0D2C73" w14:textId="32E002E6" w:rsidR="00F86532" w:rsidRPr="005C671A" w:rsidRDefault="00F86532" w:rsidP="00503D85">
            <w:pPr>
              <w:spacing w:line="240" w:lineRule="auto"/>
              <w:cnfStyle w:val="000000100000" w:firstRow="0" w:lastRow="0" w:firstColumn="0" w:lastColumn="0" w:oddVBand="0" w:evenVBand="0" w:oddHBand="1" w:evenHBand="0" w:firstRowFirstColumn="0" w:firstRowLastColumn="0" w:lastRowFirstColumn="0" w:lastRowLastColumn="0"/>
              <w:rPr>
                <w:color w:val="000000"/>
                <w:sz w:val="22"/>
                <w:szCs w:val="22"/>
                <w:lang w:val="en-US" w:eastAsia="en-US"/>
              </w:rPr>
            </w:pPr>
            <w:r w:rsidRPr="005C671A">
              <w:rPr>
                <w:color w:val="000000"/>
                <w:sz w:val="22"/>
                <w:szCs w:val="22"/>
                <w:lang w:val="en-US" w:eastAsia="en-US"/>
              </w:rPr>
              <w:t> </w:t>
            </w:r>
          </w:p>
        </w:tc>
        <w:tc>
          <w:tcPr>
            <w:tcW w:w="338" w:type="dxa"/>
            <w:noWrap/>
            <w:hideMark/>
          </w:tcPr>
          <w:p w14:paraId="1A6EFD3D" w14:textId="77777777" w:rsidR="00F86532" w:rsidRPr="0014140B" w:rsidRDefault="00F86532" w:rsidP="00503D85">
            <w:pPr>
              <w:spacing w:line="240" w:lineRule="auto"/>
              <w:cnfStyle w:val="000000100000" w:firstRow="0" w:lastRow="0" w:firstColumn="0" w:lastColumn="0" w:oddVBand="0" w:evenVBand="0" w:oddHBand="1" w:evenHBand="0" w:firstRowFirstColumn="0" w:firstRowLastColumn="0" w:lastRowFirstColumn="0" w:lastRowLastColumn="0"/>
              <w:rPr>
                <w:color w:val="000000"/>
                <w:sz w:val="22"/>
                <w:szCs w:val="22"/>
                <w:lang w:val="en-US" w:eastAsia="en-US"/>
              </w:rPr>
            </w:pPr>
            <w:r w:rsidRPr="0014140B">
              <w:rPr>
                <w:color w:val="000000"/>
                <w:sz w:val="22"/>
                <w:szCs w:val="22"/>
                <w:lang w:val="en-US" w:eastAsia="en-US"/>
              </w:rPr>
              <w:t> </w:t>
            </w:r>
          </w:p>
        </w:tc>
      </w:tr>
      <w:tr w:rsidR="00F86532" w:rsidRPr="0014140B" w14:paraId="4805F6AA" w14:textId="77777777" w:rsidTr="00A24553">
        <w:trPr>
          <w:trHeight w:val="32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71C85AC" w14:textId="77777777" w:rsidR="00F86532" w:rsidRPr="005C671A" w:rsidRDefault="00F86532" w:rsidP="00503D85">
            <w:pPr>
              <w:spacing w:line="240" w:lineRule="auto"/>
              <w:rPr>
                <w:rFonts w:ascii="Calibri" w:hAnsi="Calibri"/>
                <w:b w:val="0"/>
                <w:color w:val="000000"/>
                <w:lang w:val="en-US" w:eastAsia="en-US"/>
              </w:rPr>
            </w:pPr>
            <w:r w:rsidRPr="005C671A">
              <w:rPr>
                <w:rFonts w:ascii="Calibri" w:hAnsi="Calibri"/>
                <w:b w:val="0"/>
                <w:color w:val="000000"/>
                <w:lang w:val="en-US" w:eastAsia="en-US"/>
              </w:rPr>
              <w:t>Venezuela</w:t>
            </w:r>
          </w:p>
        </w:tc>
        <w:tc>
          <w:tcPr>
            <w:tcW w:w="338" w:type="dxa"/>
            <w:noWrap/>
            <w:hideMark/>
          </w:tcPr>
          <w:p w14:paraId="0C40CC89" w14:textId="77777777" w:rsidR="00F86532" w:rsidRPr="005C671A" w:rsidRDefault="00F86532" w:rsidP="00503D85">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r w:rsidRPr="005C671A">
              <w:rPr>
                <w:rFonts w:ascii="Calibri" w:hAnsi="Calibri"/>
                <w:color w:val="000000"/>
                <w:lang w:val="en-US" w:eastAsia="en-US"/>
              </w:rPr>
              <w:t>5</w:t>
            </w:r>
          </w:p>
        </w:tc>
        <w:tc>
          <w:tcPr>
            <w:tcW w:w="2397" w:type="dxa"/>
            <w:noWrap/>
          </w:tcPr>
          <w:p w14:paraId="2CF36E53" w14:textId="77777777" w:rsidR="00F86532" w:rsidRPr="005C671A" w:rsidRDefault="00F86532" w:rsidP="00503D85">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eastAsia="en-US"/>
              </w:rPr>
            </w:pPr>
          </w:p>
        </w:tc>
        <w:tc>
          <w:tcPr>
            <w:tcW w:w="338" w:type="dxa"/>
            <w:noWrap/>
            <w:hideMark/>
          </w:tcPr>
          <w:p w14:paraId="11DC35BB" w14:textId="77777777" w:rsidR="00F86532" w:rsidRPr="0014140B" w:rsidRDefault="00F86532" w:rsidP="00503D85">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US" w:eastAsia="en-US"/>
              </w:rPr>
            </w:pPr>
          </w:p>
        </w:tc>
      </w:tr>
    </w:tbl>
    <w:p w14:paraId="46521ED8" w14:textId="77777777" w:rsidR="00A24553" w:rsidRDefault="00A24553" w:rsidP="008615B4">
      <w:pPr>
        <w:pStyle w:val="table"/>
        <w:rPr>
          <w:lang w:eastAsia="en-US"/>
        </w:rPr>
      </w:pPr>
    </w:p>
    <w:p w14:paraId="3DA172A9" w14:textId="7A4135C7" w:rsidR="006B5E63" w:rsidRDefault="008615B4" w:rsidP="008615B4">
      <w:pPr>
        <w:pStyle w:val="body"/>
        <w:rPr>
          <w:lang w:eastAsia="en-US"/>
        </w:rPr>
      </w:pPr>
      <w:r w:rsidRPr="2EBC3AA5">
        <w:rPr>
          <w:lang w:eastAsia="en-US"/>
        </w:rPr>
        <w:t>We asked whether the thematic role effect occurred in both groups by a</w:t>
      </w:r>
      <w:r w:rsidR="009B361F">
        <w:rPr>
          <w:lang w:eastAsia="en-US"/>
        </w:rPr>
        <w:t xml:space="preserve">nalyzing each group separately. For these models, we excluded gender and its interactions, because these effects were </w:t>
      </w:r>
      <w:r w:rsidR="0054414B">
        <w:rPr>
          <w:lang w:eastAsia="en-US"/>
        </w:rPr>
        <w:t>either absent or marginal in the</w:t>
      </w:r>
      <w:r w:rsidR="009B361F">
        <w:rPr>
          <w:lang w:eastAsia="en-US"/>
        </w:rPr>
        <w:t xml:space="preserve"> overall model. Results showed that the thematic role effect </w:t>
      </w:r>
      <w:r w:rsidRPr="2EBC3AA5">
        <w:rPr>
          <w:lang w:eastAsia="en-US"/>
        </w:rPr>
        <w:t>only emerged for the pronoun-user group. Their data looked very much like the data for the group overall, where they tended to use null pronouns more for subjects than nonsubjects, and pronouns more for subject/sources and nonsubject/goals. Models with only this subgroup critically showed the interaction between thematic role and subjecthood for pronoun production.</w:t>
      </w:r>
      <w:r w:rsidR="006B5E63">
        <w:rPr>
          <w:lang w:eastAsia="en-US"/>
        </w:rPr>
        <w:t xml:space="preserve"> This group also had an interaction between thematic role and subjecthood for </w:t>
      </w:r>
      <w:r w:rsidR="004D37FD">
        <w:rPr>
          <w:lang w:eastAsia="en-US"/>
        </w:rPr>
        <w:t>null pronoun</w:t>
      </w:r>
      <w:r w:rsidR="006B5E63">
        <w:rPr>
          <w:lang w:eastAsia="en-US"/>
        </w:rPr>
        <w:t xml:space="preserve"> production, exhibiting the inverse effect: more </w:t>
      </w:r>
      <w:r w:rsidR="004D37FD">
        <w:rPr>
          <w:lang w:eastAsia="en-US"/>
        </w:rPr>
        <w:t>nulls</w:t>
      </w:r>
      <w:r w:rsidR="006B5E63">
        <w:rPr>
          <w:lang w:eastAsia="en-US"/>
        </w:rPr>
        <w:t xml:space="preserve"> for subject goals than subject sources, and more </w:t>
      </w:r>
      <w:r w:rsidR="004D37FD">
        <w:rPr>
          <w:lang w:eastAsia="en-US"/>
        </w:rPr>
        <w:t>nulls</w:t>
      </w:r>
      <w:r w:rsidR="006B5E63">
        <w:rPr>
          <w:lang w:eastAsia="en-US"/>
        </w:rPr>
        <w:t xml:space="preserve"> for nonsubject sources than subject goals.</w:t>
      </w:r>
    </w:p>
    <w:p w14:paraId="5E8CB697" w14:textId="0785E55A" w:rsidR="008615B4" w:rsidRDefault="008615B4" w:rsidP="00E43AB6">
      <w:pPr>
        <w:pStyle w:val="body"/>
        <w:rPr>
          <w:lang w:eastAsia="en-US"/>
        </w:rPr>
      </w:pPr>
      <w:r w:rsidRPr="2EBC3AA5">
        <w:rPr>
          <w:lang w:eastAsia="en-US"/>
        </w:rPr>
        <w:lastRenderedPageBreak/>
        <w:t xml:space="preserve">On the other hand, </w:t>
      </w:r>
      <w:r w:rsidRPr="00292A7B">
        <w:rPr>
          <w:lang w:eastAsia="en-US"/>
        </w:rPr>
        <w:t>the 1</w:t>
      </w:r>
      <w:r w:rsidR="005E0871" w:rsidRPr="00292A7B">
        <w:rPr>
          <w:lang w:eastAsia="en-US"/>
        </w:rPr>
        <w:t>5</w:t>
      </w:r>
      <w:r w:rsidRPr="00292A7B">
        <w:rPr>
          <w:lang w:eastAsia="en-US"/>
        </w:rPr>
        <w:t xml:space="preserve"> no-pronoun subjects had a very strong subjecthood bias, where they produced null pronouns o</w:t>
      </w:r>
      <w:r w:rsidR="0091170D">
        <w:rPr>
          <w:lang w:eastAsia="en-US"/>
        </w:rPr>
        <w:t>n 51% of the subject/goal trials; 52</w:t>
      </w:r>
      <w:r w:rsidRPr="00292A7B">
        <w:rPr>
          <w:lang w:eastAsia="en-US"/>
        </w:rPr>
        <w:t>%</w:t>
      </w:r>
      <w:r w:rsidR="0091170D">
        <w:rPr>
          <w:lang w:eastAsia="en-US"/>
        </w:rPr>
        <w:t xml:space="preserve"> of the subject/source trials; 8</w:t>
      </w:r>
      <w:r w:rsidRPr="00292A7B">
        <w:rPr>
          <w:lang w:eastAsia="en-US"/>
        </w:rPr>
        <w:t>% of t</w:t>
      </w:r>
      <w:r w:rsidR="0091170D">
        <w:rPr>
          <w:lang w:eastAsia="en-US"/>
        </w:rPr>
        <w:t>he nonsubject/goal trials, and 8</w:t>
      </w:r>
      <w:r w:rsidRPr="00292A7B">
        <w:rPr>
          <w:lang w:eastAsia="en-US"/>
        </w:rPr>
        <w:t>% of the nonsubject/source trials.  Only the main effect of subjecthood was significant in this model.</w:t>
      </w:r>
    </w:p>
    <w:p w14:paraId="57459F70" w14:textId="09484A1E" w:rsidR="008615B4" w:rsidRPr="007C7D75" w:rsidRDefault="008615B4" w:rsidP="008B5AA5">
      <w:pPr>
        <w:pStyle w:val="Heading2"/>
      </w:pPr>
      <w:r>
        <w:t>Discussion</w:t>
      </w:r>
    </w:p>
    <w:p w14:paraId="25026AB3" w14:textId="319AF60C" w:rsidR="008615B4" w:rsidRPr="007C7D75" w:rsidRDefault="008615B4" w:rsidP="008615B4">
      <w:pPr>
        <w:pStyle w:val="body"/>
      </w:pPr>
      <w:r>
        <w:t xml:space="preserve">Experiment 1 revealed two main findings. First, grammatical function has a strong influence on reference form. As many models predict, speakers tend to avoid using explicit expressions (names/descriptions) when referring to a character last mentioned in grammatical subject position, and instead use reduced expressions (null or overt pronouns). </w:t>
      </w:r>
      <w:r w:rsidR="00913921">
        <w:t xml:space="preserve">For reference to nonsubjects we instead observed that </w:t>
      </w:r>
      <w:r>
        <w:t xml:space="preserve">overall </w:t>
      </w:r>
      <w:r w:rsidR="007B77CF">
        <w:t xml:space="preserve">names/descriptions were </w:t>
      </w:r>
      <w:r>
        <w:t>the most common choice</w:t>
      </w:r>
      <w:r w:rsidR="00913921">
        <w:t xml:space="preserve">. In addition, </w:t>
      </w:r>
      <w:r>
        <w:t xml:space="preserve">overt pronouns were relatively more likely for nonsubjects than subjects. </w:t>
      </w:r>
    </w:p>
    <w:p w14:paraId="6BF32F85" w14:textId="2F1CBDD8" w:rsidR="004B67B3" w:rsidRDefault="008615B4" w:rsidP="008615B4">
      <w:pPr>
        <w:pStyle w:val="body"/>
      </w:pPr>
      <w:r>
        <w:t xml:space="preserve">Our second finding was that thematic role modulated reference form choice as well. This was a much smaller effect, and only emerged for overt pronouns when used to refer to nonsubject characters. Stevenson et al. (1994) suggested that speakers focus their attention on the endpoint of transfer events, i.e. on the goal. This predicts that goals would be considered more salient/accessible than sources, and should be </w:t>
      </w:r>
      <w:r w:rsidR="004B67B3">
        <w:t xml:space="preserve">realized with reduced forms. In Spanish, there speakers can choose either overt pronouns (somewhat reduced) or null pronouns (even more reduced). Our results showed that speakers do avoid the most explicit form for goals in Spanish, supporting the contribution of thematic role information in reference choices. However, this also raises questions about why it does not have a broader effect. </w:t>
      </w:r>
    </w:p>
    <w:p w14:paraId="455E7953" w14:textId="77777777" w:rsidR="008615B4" w:rsidRDefault="008615B4" w:rsidP="008615B4">
      <w:pPr>
        <w:pStyle w:val="body"/>
      </w:pPr>
      <w:r>
        <w:t xml:space="preserve">However, in this experiment the effect was limited to only nonsubject references. This may be due to the fact that overt pronouns were rare in our sample, and were used mostly for nonsubject reference.  On the other hand, it is notable that overt pronouns were not the dominant response for nonsubjects – instead, names were. </w:t>
      </w:r>
    </w:p>
    <w:p w14:paraId="54614D3A" w14:textId="4D2758E8" w:rsidR="008615B4" w:rsidRPr="007C7D75" w:rsidRDefault="008615B4" w:rsidP="008615B4">
      <w:pPr>
        <w:pStyle w:val="body"/>
      </w:pPr>
      <w:r>
        <w:lastRenderedPageBreak/>
        <w:t xml:space="preserve">We did not observe </w:t>
      </w:r>
      <w:r w:rsidR="00F3502F">
        <w:t>more than a small, marginal effect</w:t>
      </w:r>
      <w:r>
        <w:t xml:space="preserve"> of gender. In English, pronouns are more common when they are unambiguous, such as when the situation contains only one character that matches the pronoun’s gender (Arnold &amp; Griffin, 2007; Rosa &amp; Arnold, 2017).  In Spanish, gender is </w:t>
      </w:r>
      <w:r w:rsidR="00C1067A">
        <w:t>only encoded on</w:t>
      </w:r>
      <w:r>
        <w:t xml:space="preserve"> overt pronouns, which also mark gender. Given that overt pronouns are relatively uncommon in our task, we are not in a good position to detect any effect of gender that may contribute to reference selection in Spanish.</w:t>
      </w:r>
    </w:p>
    <w:p w14:paraId="33DC8F60" w14:textId="7F24F052" w:rsidR="008615B4" w:rsidRDefault="008615B4" w:rsidP="008615B4">
      <w:pPr>
        <w:pStyle w:val="body"/>
        <w:rPr>
          <w:rFonts w:ascii="Times New Roman" w:hAnsi="Times New Roman" w:cs="Times New Roman"/>
          <w:lang w:eastAsia="en-US"/>
        </w:rPr>
      </w:pPr>
      <w:r w:rsidRPr="2EBC3AA5">
        <w:rPr>
          <w:rFonts w:ascii="Times New Roman" w:hAnsi="Times New Roman" w:cs="Times New Roman"/>
          <w:lang w:eastAsia="en-US"/>
        </w:rPr>
        <w:t>We also saw variation amongst individuals, where some people were more likely to use pronouns than others. This is consistent with findings from English versions of this task, where there is great individual variation in the rate of producing</w:t>
      </w:r>
      <w:r w:rsidR="00302436">
        <w:rPr>
          <w:rFonts w:ascii="Times New Roman" w:hAnsi="Times New Roman" w:cs="Times New Roman"/>
          <w:lang w:eastAsia="en-US"/>
        </w:rPr>
        <w:t xml:space="preserve"> pronouns. Zerkle &amp; Arnold (2017</w:t>
      </w:r>
      <w:r w:rsidR="00BD6E41">
        <w:rPr>
          <w:rFonts w:ascii="Times New Roman" w:hAnsi="Times New Roman" w:cs="Times New Roman"/>
          <w:lang w:eastAsia="en-US"/>
        </w:rPr>
        <w:t>a</w:t>
      </w:r>
      <w:r w:rsidRPr="2EBC3AA5">
        <w:rPr>
          <w:rFonts w:ascii="Times New Roman" w:hAnsi="Times New Roman" w:cs="Times New Roman"/>
          <w:lang w:eastAsia="en-US"/>
        </w:rPr>
        <w:t xml:space="preserve">) found that some participants treated the task as a simple “describe the picture” task, ignoring the fact that their response formed part of the story. Those participants used only names/descriptions, and also had a much lower use of connector words (e.g., “and”, or “so”), which signal discourse connectivity. Other participants treated the task as a story, and produced both pronouns and connector words. Likewise, our no-pronoun group in the Spanish experiment used far fewer reduced expressions overall than the pronoun group, suggesting that they may </w:t>
      </w:r>
      <w:r w:rsidR="005634CE">
        <w:rPr>
          <w:rFonts w:ascii="Times New Roman" w:hAnsi="Times New Roman" w:cs="Times New Roman"/>
          <w:lang w:eastAsia="en-US"/>
        </w:rPr>
        <w:t>have engaged with the story aspect of our task less than the pronoun-user group</w:t>
      </w:r>
      <w:r w:rsidRPr="2EBC3AA5">
        <w:rPr>
          <w:rFonts w:ascii="Times New Roman" w:hAnsi="Times New Roman" w:cs="Times New Roman"/>
          <w:lang w:eastAsia="en-US"/>
        </w:rPr>
        <w:t>.</w:t>
      </w:r>
    </w:p>
    <w:p w14:paraId="2F751F88" w14:textId="36DBCBBE" w:rsidR="008615B4" w:rsidRPr="00493837" w:rsidRDefault="008615B4" w:rsidP="008615B4">
      <w:pPr>
        <w:pStyle w:val="body"/>
        <w:rPr>
          <w:rFonts w:ascii="Times New Roman" w:hAnsi="Times New Roman" w:cs="Times New Roman"/>
          <w:lang w:eastAsia="en-US"/>
        </w:rPr>
      </w:pPr>
      <w:r w:rsidRPr="2EBC3AA5">
        <w:rPr>
          <w:rFonts w:ascii="Times New Roman" w:hAnsi="Times New Roman" w:cs="Times New Roman"/>
          <w:lang w:eastAsia="en-US"/>
        </w:rPr>
        <w:t xml:space="preserve">Thematic roles clearly affected pronoun use for the pronoun-user group, but had no effect for the no-pronoun group. The most likely explanation for this pattern is that thematic roles most strongly affect the use of overt, not null pronouns.  The no-pronoun group almost always used </w:t>
      </w:r>
      <w:r w:rsidRPr="2EBC3AA5">
        <w:rPr>
          <w:lang w:eastAsia="ja-JP"/>
        </w:rPr>
        <w:t>name/description</w:t>
      </w:r>
      <w:r w:rsidRPr="2EBC3AA5">
        <w:rPr>
          <w:rFonts w:ascii="Times New Roman" w:hAnsi="Times New Roman" w:cs="Times New Roman"/>
          <w:lang w:eastAsia="en-US"/>
        </w:rPr>
        <w:t xml:space="preserve">s for nonsubjects, which is the condition where overt pronouns are most likely to occur for other </w:t>
      </w:r>
      <w:r w:rsidR="006C2950">
        <w:rPr>
          <w:rFonts w:ascii="Times New Roman" w:hAnsi="Times New Roman" w:cs="Times New Roman"/>
          <w:lang w:eastAsia="en-US"/>
        </w:rPr>
        <w:t>participants</w:t>
      </w:r>
      <w:r w:rsidRPr="2EBC3AA5">
        <w:rPr>
          <w:rFonts w:ascii="Times New Roman" w:hAnsi="Times New Roman" w:cs="Times New Roman"/>
          <w:lang w:eastAsia="en-US"/>
        </w:rPr>
        <w:t xml:space="preserve">. Without overt pronouns, we did not have the opportunity to observe a thematic role effect for these subjects. Alternatively, thematic roles may have a stronger effect in dialects where pronouns are more common, but this possibility </w:t>
      </w:r>
      <w:r w:rsidRPr="2EBC3AA5">
        <w:rPr>
          <w:rFonts w:ascii="Times New Roman" w:hAnsi="Times New Roman" w:cs="Times New Roman"/>
          <w:lang w:eastAsia="en-US"/>
        </w:rPr>
        <w:lastRenderedPageBreak/>
        <w:t>is unmotivated and theoretically unlikely. Either way, these results suggest that thematic role affects overt pronouns more than other forms of reference in Spanish.</w:t>
      </w:r>
    </w:p>
    <w:p w14:paraId="3B476D16" w14:textId="75D8A022" w:rsidR="008615B4" w:rsidRPr="007C7D75" w:rsidRDefault="008615B4" w:rsidP="008615B4">
      <w:pPr>
        <w:pStyle w:val="body"/>
      </w:pPr>
      <w:r>
        <w:t>The most theoretically important finding in this experiment is that thematic roles can affect reference form in Spanish, albeit as a weak effect. This has implications for models of reference production both for Spanish particularly, and overall. Before we consider these implications, it is important to establish the robustness of this pattern of findings, particularly since the thematic role effect was small, and interacted with subjecthood. An additional question is whether thematic role effects can be attributed to production processes.  We test</w:t>
      </w:r>
      <w:r w:rsidR="009A4926">
        <w:t>ed</w:t>
      </w:r>
      <w:r>
        <w:t xml:space="preserve"> both of these questions in Experiment 2, where participants performed a spoken version of our task.</w:t>
      </w:r>
    </w:p>
    <w:p w14:paraId="3E30C62D" w14:textId="6A5252A7" w:rsidR="008615B4" w:rsidRPr="007C7D75" w:rsidRDefault="008615B4" w:rsidP="008B5AA5">
      <w:pPr>
        <w:pStyle w:val="Heading1"/>
      </w:pPr>
      <w:r>
        <w:t>Experiment 2</w:t>
      </w:r>
    </w:p>
    <w:p w14:paraId="702F7660" w14:textId="74132192" w:rsidR="008615B4" w:rsidRPr="007C7D75" w:rsidRDefault="008615B4" w:rsidP="008615B4">
      <w:pPr>
        <w:pStyle w:val="body"/>
      </w:pPr>
      <w:r>
        <w:t>We extend</w:t>
      </w:r>
      <w:r w:rsidR="009A4926">
        <w:t>ed</w:t>
      </w:r>
      <w:r>
        <w:t xml:space="preserve"> our task to a spoken version for </w:t>
      </w:r>
      <w:r w:rsidR="00C95645">
        <w:t>several</w:t>
      </w:r>
      <w:r>
        <w:t xml:space="preserve"> reasons. First, this allows us to test whether thematic role effects are robust enough to emerge with a different population, and in a slightly different task. Second, experiments with live addressees permit stronger control over the experimental setting, in comparison with Amazon </w:t>
      </w:r>
      <w:r w:rsidR="00E42F32">
        <w:t>Mechanical T</w:t>
      </w:r>
      <w:r>
        <w:t>urk studies. Third, this allows us to ensure that participants are native speakers of Spanish, in that the experimenter could informally assess the fluency of participants in person.</w:t>
      </w:r>
    </w:p>
    <w:p w14:paraId="67DD2C65" w14:textId="5F32F905" w:rsidR="008615B4" w:rsidRPr="007C7D75" w:rsidRDefault="008615B4" w:rsidP="008615B4">
      <w:pPr>
        <w:pStyle w:val="body"/>
      </w:pPr>
      <w:r>
        <w:t>By asking participants to respond verbally, we can also examine how performance across conditions relates to language production processing, specifically the time needed to plan a response. In our spoken task, we ask</w:t>
      </w:r>
      <w:r w:rsidR="007406C8">
        <w:t>ed</w:t>
      </w:r>
      <w:r>
        <w:t xml:space="preserve"> participants to read aloud the detective’s sentence, describing the first picture. They then use</w:t>
      </w:r>
      <w:r w:rsidR="00F838DC">
        <w:t>d</w:t>
      </w:r>
      <w:r>
        <w:t xml:space="preserve"> the second picture to guide their continuation of the story.  This is similar to Rosa and Arnold’s (2017) Experiment 1, except that in their experiment, an experimenter spoke the context sentence aloud. </w:t>
      </w:r>
      <w:r w:rsidR="00173C4A">
        <w:t>As a test of planning time, Rosa and Arnold</w:t>
      </w:r>
      <w:r>
        <w:t xml:space="preserve"> measured the latency to begin speaking as the time between the end of the context sentence and the participant’s response.  </w:t>
      </w:r>
      <w:r w:rsidR="00173C4A">
        <w:t>They</w:t>
      </w:r>
      <w:r>
        <w:t xml:space="preserve"> found that participants </w:t>
      </w:r>
      <w:r>
        <w:lastRenderedPageBreak/>
        <w:t xml:space="preserve">responded more quickly for trials in which they mentioned the goal, compared with the source (see also Zerkle &amp; Arnold, </w:t>
      </w:r>
      <w:r w:rsidR="00305F41">
        <w:t>2015</w:t>
      </w:r>
      <w:r>
        <w:t xml:space="preserve">). </w:t>
      </w:r>
      <w:r w:rsidR="00BC5BE9">
        <w:t xml:space="preserve">Our goal here is to test whether the same effect occurs in Spanish. </w:t>
      </w:r>
      <w:r>
        <w:t xml:space="preserve">A secondary question is whether planning time correlates </w:t>
      </w:r>
      <w:r w:rsidRPr="00DD68C7">
        <w:t xml:space="preserve">with reference form choice, although </w:t>
      </w:r>
      <w:r w:rsidR="00855E51">
        <w:t>it doe</w:t>
      </w:r>
      <w:r w:rsidRPr="00DD68C7">
        <w:t>s not fo</w:t>
      </w:r>
      <w:r w:rsidR="00DD68C7" w:rsidRPr="00DD68C7">
        <w:t xml:space="preserve">r English (Rosa &amp; Arnold, 2017; </w:t>
      </w:r>
      <w:r w:rsidRPr="00DD68C7">
        <w:t>Zerkle &amp; Arnold</w:t>
      </w:r>
      <w:r w:rsidR="00302436">
        <w:t>, 2017</w:t>
      </w:r>
      <w:r w:rsidR="00B37849">
        <w:t>a</w:t>
      </w:r>
      <w:r w:rsidR="00676DF7">
        <w:t>, 2019;</w:t>
      </w:r>
      <w:r w:rsidR="00DD68C7" w:rsidRPr="00DD68C7">
        <w:t xml:space="preserve"> Zerkle &amp; Arnold, </w:t>
      </w:r>
      <w:r w:rsidR="00B37849">
        <w:t>2015</w:t>
      </w:r>
      <w:r w:rsidRPr="00DD68C7">
        <w:t>).</w:t>
      </w:r>
    </w:p>
    <w:p w14:paraId="2AFD11B5" w14:textId="2E71FB3D" w:rsidR="008615B4" w:rsidRPr="007C7D75" w:rsidRDefault="008615B4" w:rsidP="00200B6F">
      <w:pPr>
        <w:pStyle w:val="Heading2"/>
      </w:pPr>
      <w:r>
        <w:t>Methods</w:t>
      </w:r>
    </w:p>
    <w:p w14:paraId="499D1FA0" w14:textId="65C02847" w:rsidR="008615B4" w:rsidRPr="007C7D75" w:rsidRDefault="008615B4" w:rsidP="00200B6F">
      <w:pPr>
        <w:pStyle w:val="Heading3"/>
      </w:pPr>
      <w:r>
        <w:t>Participants</w:t>
      </w:r>
    </w:p>
    <w:p w14:paraId="2BD312EB" w14:textId="77777777" w:rsidR="008615B4" w:rsidRPr="007C7D75" w:rsidRDefault="008615B4" w:rsidP="008615B4">
      <w:pPr>
        <w:pStyle w:val="paragraph0"/>
        <w:spacing w:before="0" w:beforeAutospacing="0" w:after="0" w:afterAutospacing="0" w:line="480" w:lineRule="auto"/>
        <w:ind w:firstLine="720"/>
        <w:textAlignment w:val="baseline"/>
        <w:rPr>
          <w:rStyle w:val="normaltextrun"/>
          <w:b/>
          <w:bCs/>
        </w:rPr>
      </w:pPr>
      <w:r w:rsidRPr="007C7D75">
        <w:rPr>
          <w:rStyle w:val="normaltextrun"/>
        </w:rPr>
        <w:t>33 participants residing in the Chapel Hill and Durham areas participate</w:t>
      </w:r>
      <w:r w:rsidRPr="00A75A9B">
        <w:rPr>
          <w:rStyle w:val="normaltextrun"/>
        </w:rPr>
        <w:t>d in an in-person experiment. Participants were recruited through flyers, by email, and in person. 7 participants were excluded. 3 participants were excluded for technical and/or experimenter error: 1 received an incorrect version of the experiment, 1 participant's audio was not recorded, and 1 participant did not fit the eligibility criteria.  4 other participates were excluded on the basis of their responses: 1 participant used only names in their continuations, 1 participant referred to the target less than 50% of the time, 1 participant had more than 50% unusable responses, and 1 participant had difficulty reading while doing the task.</w:t>
      </w:r>
      <w:r w:rsidRPr="007C7D75">
        <w:rPr>
          <w:rStyle w:val="normaltextrun"/>
        </w:rPr>
        <w:t xml:space="preserve"> </w:t>
      </w:r>
    </w:p>
    <w:p w14:paraId="5B899A62" w14:textId="765E9249" w:rsidR="008615B4" w:rsidRPr="007C7D75" w:rsidRDefault="008615B4" w:rsidP="008615B4">
      <w:pPr>
        <w:pStyle w:val="paragraph0"/>
        <w:spacing w:before="0" w:beforeAutospacing="0" w:after="0" w:afterAutospacing="0" w:line="480" w:lineRule="auto"/>
        <w:ind w:firstLine="720"/>
        <w:textAlignment w:val="baseline"/>
        <w:rPr>
          <w:rStyle w:val="normaltextrun"/>
        </w:rPr>
      </w:pPr>
      <w:r w:rsidRPr="007C7D75">
        <w:rPr>
          <w:rStyle w:val="normaltextrun"/>
        </w:rPr>
        <w:t xml:space="preserve">Experiments took place </w:t>
      </w:r>
      <w:r w:rsidR="003A558E">
        <w:rPr>
          <w:rStyle w:val="normaltextrun"/>
        </w:rPr>
        <w:t>either</w:t>
      </w:r>
      <w:r w:rsidRPr="007C7D75">
        <w:rPr>
          <w:rStyle w:val="normaltextrun"/>
        </w:rPr>
        <w:t xml:space="preserve"> in an on-campus research lab or in a stud</w:t>
      </w:r>
      <w:r>
        <w:rPr>
          <w:rStyle w:val="normaltextrun"/>
        </w:rPr>
        <w:t xml:space="preserve">y room at Durham County Library, </w:t>
      </w:r>
      <w:r w:rsidRPr="007C7D75">
        <w:rPr>
          <w:rStyle w:val="normaltextrun"/>
        </w:rPr>
        <w:t>main branch.  Participants received $10</w:t>
      </w:r>
      <w:r w:rsidR="00E707D0">
        <w:rPr>
          <w:rStyle w:val="normaltextrun"/>
        </w:rPr>
        <w:t xml:space="preserve"> </w:t>
      </w:r>
      <w:r w:rsidRPr="007C7D75">
        <w:rPr>
          <w:rStyle w:val="normaltextrun"/>
        </w:rPr>
        <w:t xml:space="preserve">for completion of the hour-long experiment. Participants were individuals who grew up in a Spanish-speaking country, </w:t>
      </w:r>
      <w:r w:rsidRPr="00A75A9B">
        <w:rPr>
          <w:rStyle w:val="normaltextrun"/>
        </w:rPr>
        <w:t>spoke Spanish as their first language, and came to the US at age 16 or later.  Our par</w:t>
      </w:r>
      <w:r w:rsidR="00A75A9B">
        <w:rPr>
          <w:rStyle w:val="normaltextrun"/>
        </w:rPr>
        <w:t>ticipants were originally from 7</w:t>
      </w:r>
      <w:r w:rsidRPr="00A75A9B">
        <w:rPr>
          <w:rStyle w:val="normaltextrun"/>
        </w:rPr>
        <w:t xml:space="preserve"> different countries/territories</w:t>
      </w:r>
      <w:r w:rsidR="00342112">
        <w:rPr>
          <w:rStyle w:val="EndnoteReference"/>
        </w:rPr>
        <w:endnoteReference w:id="3"/>
      </w:r>
      <w:r w:rsidRPr="00A75A9B">
        <w:rPr>
          <w:rStyle w:val="normaltextrun"/>
        </w:rPr>
        <w:t xml:space="preserve">. </w:t>
      </w:r>
      <w:r w:rsidR="00A75A9B">
        <w:rPr>
          <w:rStyle w:val="normaltextrun"/>
        </w:rPr>
        <w:t xml:space="preserve">One participant grew up moving between Colombia and Argentina. </w:t>
      </w:r>
      <w:r w:rsidRPr="00A75A9B">
        <w:rPr>
          <w:rStyle w:val="normaltextrun"/>
        </w:rPr>
        <w:t>Participants had been living in the United States anywhere from 0-21 years, and 19 individuals spoke at least one other language. All</w:t>
      </w:r>
      <w:r w:rsidRPr="007C7D75">
        <w:rPr>
          <w:rStyle w:val="normaltextrun"/>
        </w:rPr>
        <w:t xml:space="preserve"> interactions with the participants, including participant recruitment, were conducted in Spanish to reduce English-language interference.</w:t>
      </w:r>
    </w:p>
    <w:p w14:paraId="48F499B6" w14:textId="17D612D2" w:rsidR="008615B4" w:rsidRPr="007C7D75" w:rsidRDefault="008615B4" w:rsidP="00200B6F">
      <w:pPr>
        <w:pStyle w:val="Heading3"/>
      </w:pPr>
      <w:r w:rsidRPr="2EBC3AA5">
        <w:lastRenderedPageBreak/>
        <w:t>Materials and Design</w:t>
      </w:r>
    </w:p>
    <w:p w14:paraId="6AB9BB79" w14:textId="10CD86E9" w:rsidR="008615B4" w:rsidRPr="007C7D75" w:rsidRDefault="008615B4" w:rsidP="008615B4">
      <w:pPr>
        <w:ind w:firstLine="720"/>
        <w:jc w:val="both"/>
        <w:rPr>
          <w:rFonts w:cstheme="minorBidi"/>
          <w:b/>
          <w:bCs/>
          <w:color w:val="000000" w:themeColor="text1"/>
        </w:rPr>
      </w:pPr>
      <w:r w:rsidRPr="2EBC3AA5">
        <w:rPr>
          <w:rStyle w:val="normaltextrun"/>
        </w:rPr>
        <w:t xml:space="preserve">The introductory video was recorded by a native Spanish speaker who </w:t>
      </w:r>
      <w:r w:rsidR="00C1067A">
        <w:rPr>
          <w:rStyle w:val="normaltextrun"/>
        </w:rPr>
        <w:t>was from Mexico</w:t>
      </w:r>
      <w:r w:rsidR="005D3571">
        <w:rPr>
          <w:rStyle w:val="normaltextrun"/>
        </w:rPr>
        <w:t xml:space="preserve">; this video </w:t>
      </w:r>
      <w:r w:rsidRPr="2EBC3AA5">
        <w:rPr>
          <w:rStyle w:val="normaltextrun"/>
        </w:rPr>
        <w:t>informed participants of their role in the story. The same set of images was used as in Experiment 1 and participants were assigned to List A or List B on an alternating basis. As such, our independent variables were the same. Our stimuli were the same, except we replaced the names Sir Barnes and Lady Mannerly with the more generic terms</w:t>
      </w:r>
      <w:r w:rsidR="00A4114D">
        <w:rPr>
          <w:rStyle w:val="normaltextrun"/>
        </w:rPr>
        <w:t xml:space="preserve"> El Duque (t</w:t>
      </w:r>
      <w:r w:rsidRPr="2EBC3AA5">
        <w:rPr>
          <w:rStyle w:val="normaltextrun"/>
        </w:rPr>
        <w:t>he Duke</w:t>
      </w:r>
      <w:r w:rsidR="00A4114D">
        <w:rPr>
          <w:rStyle w:val="normaltextrun"/>
        </w:rPr>
        <w:t>)</w:t>
      </w:r>
      <w:r w:rsidRPr="2EBC3AA5">
        <w:rPr>
          <w:rStyle w:val="normaltextrun"/>
        </w:rPr>
        <w:t xml:space="preserve"> </w:t>
      </w:r>
      <w:r w:rsidR="00A4114D">
        <w:rPr>
          <w:rStyle w:val="normaltextrun"/>
        </w:rPr>
        <w:t xml:space="preserve">and La Duquesa (The Duchess). </w:t>
      </w:r>
      <w:r w:rsidR="00DB3565">
        <w:rPr>
          <w:rStyle w:val="normaltextrun"/>
        </w:rPr>
        <w:t>A</w:t>
      </w:r>
      <w:r w:rsidRPr="2EBC3AA5">
        <w:rPr>
          <w:rStyle w:val="normaltextrun"/>
        </w:rPr>
        <w:t xml:space="preserve">s in </w:t>
      </w:r>
      <w:r w:rsidR="003661C7">
        <w:rPr>
          <w:rStyle w:val="normaltextrun"/>
        </w:rPr>
        <w:t>E</w:t>
      </w:r>
      <w:r w:rsidRPr="2EBC3AA5">
        <w:rPr>
          <w:rStyle w:val="normaltextrun"/>
        </w:rPr>
        <w:t xml:space="preserve">xperiment 1, our dependent variable </w:t>
      </w:r>
      <w:r w:rsidR="004C319B">
        <w:rPr>
          <w:rStyle w:val="normaltextrun"/>
        </w:rPr>
        <w:t>was</w:t>
      </w:r>
      <w:r w:rsidRPr="2EBC3AA5">
        <w:rPr>
          <w:rStyle w:val="normaltextrun"/>
        </w:rPr>
        <w:t xml:space="preserve"> the type of referential form produced to refer to the target character. </w:t>
      </w:r>
    </w:p>
    <w:p w14:paraId="725A016C" w14:textId="3054AEA5" w:rsidR="008615B4" w:rsidRPr="007C7D75" w:rsidRDefault="008615B4" w:rsidP="00200B6F">
      <w:pPr>
        <w:pStyle w:val="Heading3"/>
      </w:pPr>
      <w:r w:rsidRPr="2EBC3AA5">
        <w:t>Procedure</w:t>
      </w:r>
      <w:r w:rsidRPr="007C7D75">
        <w:rPr>
          <w:rFonts w:cstheme="minorHAnsi"/>
        </w:rPr>
        <w:tab/>
      </w:r>
    </w:p>
    <w:p w14:paraId="01F57EBB" w14:textId="52D8C5AC" w:rsidR="008615B4" w:rsidRDefault="008615B4" w:rsidP="008615B4">
      <w:pPr>
        <w:ind w:firstLine="720"/>
        <w:jc w:val="both"/>
        <w:rPr>
          <w:rStyle w:val="normaltextrun"/>
        </w:rPr>
      </w:pPr>
      <w:r w:rsidRPr="2EBC3AA5">
        <w:rPr>
          <w:rStyle w:val="normaltextrun"/>
        </w:rPr>
        <w:t xml:space="preserve">Participants sat in front of a computer and were presented with a video describing the characters, the story background and their role as a tabloid photographer. </w:t>
      </w:r>
      <w:r w:rsidR="00103674" w:rsidRPr="2EBC3AA5">
        <w:rPr>
          <w:rStyle w:val="normaltextrun"/>
        </w:rPr>
        <w:t>Before starting the experimental phase, participants were given a sample trial and listened to a sample response</w:t>
      </w:r>
      <w:r w:rsidR="00B10E96">
        <w:rPr>
          <w:rStyle w:val="normaltextrun"/>
        </w:rPr>
        <w:t>.</w:t>
      </w:r>
      <w:r w:rsidR="00103674" w:rsidRPr="2EBC3AA5">
        <w:rPr>
          <w:rStyle w:val="normaltextrun"/>
        </w:rPr>
        <w:t xml:space="preserve"> </w:t>
      </w:r>
      <w:r w:rsidR="00B10E96">
        <w:rPr>
          <w:rStyle w:val="normaltextrun"/>
        </w:rPr>
        <w:t>They</w:t>
      </w:r>
      <w:r w:rsidR="00103674" w:rsidRPr="2EBC3AA5">
        <w:rPr>
          <w:rStyle w:val="normaltextrun"/>
        </w:rPr>
        <w:t xml:space="preserve"> were also fitted with a microphone to record their audio. </w:t>
      </w:r>
      <w:r w:rsidRPr="2EBC3AA5">
        <w:rPr>
          <w:rStyle w:val="normaltextrun"/>
        </w:rPr>
        <w:t xml:space="preserve">Participants </w:t>
      </w:r>
      <w:r w:rsidR="00723E39">
        <w:rPr>
          <w:rStyle w:val="normaltextrun"/>
        </w:rPr>
        <w:t>then saw a preview of</w:t>
      </w:r>
      <w:r w:rsidRPr="2EBC3AA5">
        <w:rPr>
          <w:rStyle w:val="normaltextrun"/>
        </w:rPr>
        <w:t xml:space="preserve"> the images presented in the experimental phase of the experiment. Each </w:t>
      </w:r>
      <w:r w:rsidR="006E4E9F">
        <w:rPr>
          <w:rStyle w:val="normaltextrun"/>
        </w:rPr>
        <w:t>pair</w:t>
      </w:r>
      <w:r w:rsidRPr="2EBC3AA5">
        <w:rPr>
          <w:rStyle w:val="normaltextrun"/>
        </w:rPr>
        <w:t xml:space="preserve"> of images was shown on the screen for 5 seconds. Participants were then </w:t>
      </w:r>
      <w:r w:rsidR="00BF1799">
        <w:rPr>
          <w:rStyle w:val="normaltextrun"/>
        </w:rPr>
        <w:t>shown</w:t>
      </w:r>
      <w:r w:rsidRPr="2EBC3AA5">
        <w:rPr>
          <w:rStyle w:val="normaltextrun"/>
        </w:rPr>
        <w:t xml:space="preserve"> the same set of images as in Experiment 1. </w:t>
      </w:r>
      <w:r w:rsidR="0006089C">
        <w:rPr>
          <w:rStyle w:val="normaltextrun"/>
        </w:rPr>
        <w:t xml:space="preserve">The first image had a sentence written below it; participants </w:t>
      </w:r>
      <w:r w:rsidRPr="2EBC3AA5">
        <w:rPr>
          <w:rStyle w:val="normaltextrun"/>
        </w:rPr>
        <w:t>read th</w:t>
      </w:r>
      <w:r w:rsidR="0006089C">
        <w:rPr>
          <w:rStyle w:val="normaltextrun"/>
        </w:rPr>
        <w:t>is</w:t>
      </w:r>
      <w:r w:rsidRPr="2EBC3AA5">
        <w:rPr>
          <w:rStyle w:val="normaltextrun"/>
        </w:rPr>
        <w:t xml:space="preserve"> sentence and then </w:t>
      </w:r>
      <w:r w:rsidR="00DC02BD">
        <w:rPr>
          <w:rStyle w:val="normaltextrun"/>
        </w:rPr>
        <w:t>continued the story based on the second panel</w:t>
      </w:r>
      <w:r w:rsidRPr="2EBC3AA5">
        <w:rPr>
          <w:rStyle w:val="normaltextrun"/>
        </w:rPr>
        <w:t xml:space="preserve">. Both </w:t>
      </w:r>
      <w:r w:rsidR="00975A75">
        <w:rPr>
          <w:rStyle w:val="normaltextrun"/>
        </w:rPr>
        <w:t>sentences</w:t>
      </w:r>
      <w:r w:rsidRPr="2EBC3AA5">
        <w:rPr>
          <w:rStyle w:val="normaltextrun"/>
        </w:rPr>
        <w:t xml:space="preserve"> were recorded through the headset. Participants continued the experiment at their own pace, and pressed the space bar when they were ready to continue on to the next trial.</w:t>
      </w:r>
    </w:p>
    <w:p w14:paraId="30967043" w14:textId="746AE107" w:rsidR="00802DDB" w:rsidRPr="007C7D75" w:rsidRDefault="00802DDB" w:rsidP="008615B4">
      <w:pPr>
        <w:ind w:firstLine="720"/>
        <w:jc w:val="both"/>
        <w:rPr>
          <w:rFonts w:cstheme="minorBidi"/>
          <w:b/>
          <w:bCs/>
          <w:color w:val="000000" w:themeColor="text1"/>
        </w:rPr>
      </w:pPr>
      <w:r>
        <w:rPr>
          <w:shd w:val="clear" w:color="auto" w:fill="FFFFFF"/>
        </w:rPr>
        <w:t xml:space="preserve">As in Experiment 1, we excluded responses that </w:t>
      </w:r>
      <w:r>
        <w:rPr>
          <w:rStyle w:val="normaltextrun"/>
        </w:rPr>
        <w:t>referred to the wrong referent, and responses with verbs</w:t>
      </w:r>
      <w:r w:rsidR="00B32077">
        <w:rPr>
          <w:rStyle w:val="normaltextrun"/>
        </w:rPr>
        <w:t xml:space="preserve"> like “gustar” (to like)</w:t>
      </w:r>
      <w:r w:rsidR="00A93E92">
        <w:rPr>
          <w:rStyle w:val="normaltextrun"/>
        </w:rPr>
        <w:t xml:space="preserve">. </w:t>
      </w:r>
      <w:r>
        <w:rPr>
          <w:shd w:val="clear" w:color="auto" w:fill="FFFFFF"/>
        </w:rPr>
        <w:t>We included data from all participants who had at least one name/description, and at least one null or overt pronoun. We also excluded participants if fewer than 50% of their responses were usable.</w:t>
      </w:r>
    </w:p>
    <w:p w14:paraId="420B6E07" w14:textId="75A8EFAB" w:rsidR="008615B4" w:rsidRDefault="008615B4" w:rsidP="00200B6F">
      <w:pPr>
        <w:pStyle w:val="Heading2"/>
      </w:pPr>
      <w:r>
        <w:lastRenderedPageBreak/>
        <w:t>Results</w:t>
      </w:r>
    </w:p>
    <w:p w14:paraId="4B88CED2" w14:textId="67B905D3" w:rsidR="008615B4" w:rsidRPr="00B47080" w:rsidRDefault="008615B4" w:rsidP="00200B6F">
      <w:pPr>
        <w:pStyle w:val="Heading3"/>
      </w:pPr>
      <w:r w:rsidRPr="2EBC3AA5">
        <w:t>Reference form choice</w:t>
      </w:r>
    </w:p>
    <w:p w14:paraId="5A733BAF" w14:textId="135A7088" w:rsidR="008615B4" w:rsidRDefault="008615B4" w:rsidP="008615B4">
      <w:pPr>
        <w:pStyle w:val="body"/>
        <w:rPr>
          <w:shd w:val="clear" w:color="auto" w:fill="FFFFFF"/>
        </w:rPr>
      </w:pPr>
      <w:r>
        <w:rPr>
          <w:shd w:val="clear" w:color="auto" w:fill="FFFFFF"/>
        </w:rPr>
        <w:t xml:space="preserve">In </w:t>
      </w:r>
      <w:r w:rsidR="004C6AF3">
        <w:rPr>
          <w:shd w:val="clear" w:color="auto" w:fill="FFFFFF"/>
        </w:rPr>
        <w:t>E</w:t>
      </w:r>
      <w:r>
        <w:rPr>
          <w:shd w:val="clear" w:color="auto" w:fill="FFFFFF"/>
        </w:rPr>
        <w:t xml:space="preserve">xperiment 2, we modeled our data in terms of the same binary choices as in Experiment 1: 1) name or description vs. other; 2) overt pronoun vs. other; 3) null pronoun vs. other. Again, we used multilevel logistic regressions with SAS proc glimmix with centered predictors and maximal random effects. </w:t>
      </w:r>
      <w:r w:rsidR="003A10C2" w:rsidRPr="003A10C2">
        <w:rPr>
          <w:shd w:val="clear" w:color="auto" w:fill="FFFFFF"/>
        </w:rPr>
        <w:t>481</w:t>
      </w:r>
      <w:r>
        <w:rPr>
          <w:shd w:val="clear" w:color="auto" w:fill="FFFFFF"/>
        </w:rPr>
        <w:t xml:space="preserve"> items were included in the final analysis. All statistical results are provided in </w:t>
      </w:r>
      <w:r w:rsidR="00C7531A">
        <w:rPr>
          <w:shd w:val="clear" w:color="auto" w:fill="FFFFFF"/>
        </w:rPr>
        <w:t xml:space="preserve">the </w:t>
      </w:r>
      <w:r>
        <w:rPr>
          <w:shd w:val="clear" w:color="auto" w:fill="FFFFFF"/>
        </w:rPr>
        <w:t>Appendix, and the si</w:t>
      </w:r>
      <w:r w:rsidR="001227CC">
        <w:rPr>
          <w:shd w:val="clear" w:color="auto" w:fill="FFFFFF"/>
        </w:rPr>
        <w:t xml:space="preserve">gnificance patterns are </w:t>
      </w:r>
      <w:r w:rsidR="00585661">
        <w:rPr>
          <w:shd w:val="clear" w:color="auto" w:fill="FFFFFF"/>
        </w:rPr>
        <w:t>summarized</w:t>
      </w:r>
      <w:r>
        <w:rPr>
          <w:shd w:val="clear" w:color="auto" w:fill="FFFFFF"/>
        </w:rPr>
        <w:t xml:space="preserve"> in Table </w:t>
      </w:r>
      <w:r w:rsidR="004D0DF6">
        <w:rPr>
          <w:shd w:val="clear" w:color="auto" w:fill="FFFFFF"/>
        </w:rPr>
        <w:t>4</w:t>
      </w:r>
      <w:r>
        <w:rPr>
          <w:shd w:val="clear" w:color="auto" w:fill="FFFFFF"/>
        </w:rPr>
        <w:t>.</w:t>
      </w:r>
    </w:p>
    <w:p w14:paraId="0DC7912C" w14:textId="758ED673" w:rsidR="008615B4" w:rsidRDefault="008615B4" w:rsidP="00E44538">
      <w:pPr>
        <w:pStyle w:val="body"/>
        <w:rPr>
          <w:rFonts w:ascii="Times New Roman" w:hAnsi="Times New Roman" w:cs="Times New Roman"/>
          <w:color w:val="000000" w:themeColor="text1"/>
        </w:rPr>
      </w:pPr>
      <w:r w:rsidRPr="2EBC3AA5">
        <w:rPr>
          <w:rFonts w:ascii="Times New Roman" w:hAnsi="Times New Roman" w:cs="Times New Roman"/>
          <w:color w:val="000000" w:themeColor="text1"/>
        </w:rPr>
        <w:t>As illustrated in figure 5, participants tended to use null pronouns more for subjects than nonsubjects, and names more for nonsubjects than subjects.  These patterns emerge</w:t>
      </w:r>
      <w:r w:rsidR="00FA5F03">
        <w:rPr>
          <w:rFonts w:ascii="Times New Roman" w:hAnsi="Times New Roman" w:cs="Times New Roman"/>
          <w:color w:val="000000" w:themeColor="text1"/>
        </w:rPr>
        <w:t>d</w:t>
      </w:r>
      <w:r w:rsidRPr="2EBC3AA5">
        <w:rPr>
          <w:rFonts w:ascii="Times New Roman" w:hAnsi="Times New Roman" w:cs="Times New Roman"/>
          <w:color w:val="000000" w:themeColor="text1"/>
        </w:rPr>
        <w:t xml:space="preserve"> as a main effect of subjecthood for both name and null pronoun dependent measures.  In addition, speakers tended to use more overt pronouns and fewer names for goals than sources, as reflected by a main effect of thematic role for the name and overt pronoun models. There was a marginal tendency to use overt </w:t>
      </w:r>
      <w:r w:rsidR="00741588" w:rsidRPr="2EBC3AA5">
        <w:rPr>
          <w:rFonts w:ascii="Times New Roman" w:hAnsi="Times New Roman" w:cs="Times New Roman"/>
          <w:color w:val="000000" w:themeColor="text1"/>
        </w:rPr>
        <w:t>pronouns</w:t>
      </w:r>
      <w:r w:rsidRPr="2EBC3AA5">
        <w:rPr>
          <w:rFonts w:ascii="Times New Roman" w:hAnsi="Times New Roman" w:cs="Times New Roman"/>
          <w:color w:val="000000" w:themeColor="text1"/>
        </w:rPr>
        <w:t xml:space="preserve"> more in different-ge</w:t>
      </w:r>
      <w:r w:rsidR="00E86C49">
        <w:rPr>
          <w:rFonts w:ascii="Times New Roman" w:hAnsi="Times New Roman" w:cs="Times New Roman"/>
          <w:color w:val="000000" w:themeColor="text1"/>
        </w:rPr>
        <w:t>nder contexts.</w:t>
      </w:r>
    </w:p>
    <w:p w14:paraId="03C5E42E" w14:textId="17F667A4" w:rsidR="00EB6856" w:rsidRDefault="00EB6856" w:rsidP="00E44538">
      <w:pPr>
        <w:pStyle w:val="body"/>
        <w:rPr>
          <w:rFonts w:ascii="Times New Roman" w:hAnsi="Times New Roman" w:cs="Times New Roman"/>
          <w:color w:val="000000" w:themeColor="text1"/>
        </w:rPr>
      </w:pPr>
    </w:p>
    <w:p w14:paraId="3B96E3CF" w14:textId="4F81F125" w:rsidR="00EB6856" w:rsidRDefault="00EB6856" w:rsidP="00EB6856">
      <w:pPr>
        <w:pStyle w:val="body"/>
        <w:ind w:firstLine="0"/>
        <w:rPr>
          <w:rFonts w:ascii="Times New Roman" w:hAnsi="Times New Roman" w:cs="Times New Roman"/>
          <w:color w:val="000000" w:themeColor="text1"/>
        </w:rPr>
      </w:pPr>
      <w:r>
        <w:rPr>
          <w:noProof/>
        </w:rPr>
        <w:drawing>
          <wp:inline distT="0" distB="0" distL="0" distR="0" wp14:anchorId="152A5766" wp14:editId="4B913897">
            <wp:extent cx="2493010" cy="1851660"/>
            <wp:effectExtent l="0" t="0" r="8890" b="15240"/>
            <wp:docPr id="15" name="Chart 15">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14:anchorId="470CF68D" wp14:editId="00836C9F">
            <wp:extent cx="3219450" cy="1851367"/>
            <wp:effectExtent l="0" t="0" r="6350" b="15875"/>
            <wp:docPr id="13" name="Chart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88906E" w14:textId="47B65980" w:rsidR="00B00932" w:rsidRPr="00A97FC9" w:rsidRDefault="006712C1" w:rsidP="00B17F95">
      <w:pPr>
        <w:pStyle w:val="examples"/>
        <w:keepNext/>
      </w:pPr>
      <w:r>
        <w:lastRenderedPageBreak/>
        <w:t>Figure 5. Experiment 2, o</w:t>
      </w:r>
      <w:r w:rsidR="00E44538" w:rsidRPr="00140BD4">
        <w:t>verall pattern of responses</w:t>
      </w:r>
    </w:p>
    <w:p w14:paraId="3C18EBF3" w14:textId="693B3CF9" w:rsidR="008615B4" w:rsidRDefault="008615B4" w:rsidP="00B17F95">
      <w:pPr>
        <w:pStyle w:val="table"/>
        <w:keepNext/>
      </w:pPr>
      <w:r w:rsidRPr="00AD02CB">
        <w:t xml:space="preserve">Table </w:t>
      </w:r>
      <w:r w:rsidR="004D0DF6">
        <w:t>4</w:t>
      </w:r>
      <w:r w:rsidRPr="00AD02CB">
        <w:t>.</w:t>
      </w:r>
      <w:r>
        <w:t xml:space="preserve"> Experiment 2 results: Summary of effects from three models</w:t>
      </w:r>
    </w:p>
    <w:tbl>
      <w:tblPr>
        <w:tblStyle w:val="TableGrid"/>
        <w:tblW w:w="7488" w:type="dxa"/>
        <w:tblLook w:val="04A0" w:firstRow="1" w:lastRow="0" w:firstColumn="1" w:lastColumn="0" w:noHBand="0" w:noVBand="1"/>
      </w:tblPr>
      <w:tblGrid>
        <w:gridCol w:w="4158"/>
        <w:gridCol w:w="1098"/>
        <w:gridCol w:w="1062"/>
        <w:gridCol w:w="1170"/>
      </w:tblGrid>
      <w:tr w:rsidR="008615B4" w14:paraId="726EFCDE" w14:textId="77777777" w:rsidTr="005003B6">
        <w:tc>
          <w:tcPr>
            <w:tcW w:w="4158" w:type="dxa"/>
          </w:tcPr>
          <w:p w14:paraId="23208E23" w14:textId="77777777" w:rsidR="008615B4" w:rsidRDefault="008615B4" w:rsidP="00B17F95">
            <w:pPr>
              <w:pStyle w:val="table"/>
              <w:keepNext/>
            </w:pPr>
          </w:p>
        </w:tc>
        <w:tc>
          <w:tcPr>
            <w:tcW w:w="1098" w:type="dxa"/>
          </w:tcPr>
          <w:p w14:paraId="32F9ABC8" w14:textId="77777777" w:rsidR="008615B4" w:rsidRDefault="008615B4" w:rsidP="00B17F95">
            <w:pPr>
              <w:pStyle w:val="table"/>
              <w:keepNext/>
            </w:pPr>
            <w:r>
              <w:t>Name model</w:t>
            </w:r>
          </w:p>
        </w:tc>
        <w:tc>
          <w:tcPr>
            <w:tcW w:w="1062" w:type="dxa"/>
          </w:tcPr>
          <w:p w14:paraId="2F3FF40B" w14:textId="77777777" w:rsidR="008615B4" w:rsidRDefault="008615B4" w:rsidP="00B17F95">
            <w:pPr>
              <w:pStyle w:val="table"/>
              <w:keepNext/>
            </w:pPr>
            <w:r>
              <w:t>Overt pronoun model</w:t>
            </w:r>
          </w:p>
        </w:tc>
        <w:tc>
          <w:tcPr>
            <w:tcW w:w="1170" w:type="dxa"/>
          </w:tcPr>
          <w:p w14:paraId="43822269" w14:textId="77777777" w:rsidR="008615B4" w:rsidRDefault="008615B4" w:rsidP="00B17F95">
            <w:pPr>
              <w:pStyle w:val="table"/>
              <w:keepNext/>
            </w:pPr>
            <w:r>
              <w:t>Null pronoun model</w:t>
            </w:r>
          </w:p>
        </w:tc>
      </w:tr>
      <w:tr w:rsidR="008615B4" w14:paraId="0AE2C59E" w14:textId="77777777" w:rsidTr="005003B6">
        <w:trPr>
          <w:trHeight w:val="305"/>
        </w:trPr>
        <w:tc>
          <w:tcPr>
            <w:tcW w:w="4158" w:type="dxa"/>
          </w:tcPr>
          <w:p w14:paraId="26E7D1FA" w14:textId="77777777" w:rsidR="008615B4" w:rsidRDefault="008615B4" w:rsidP="00B17F95">
            <w:pPr>
              <w:pStyle w:val="table"/>
              <w:keepNext/>
            </w:pPr>
            <w:r>
              <w:t>subject vs. nonsubject</w:t>
            </w:r>
          </w:p>
        </w:tc>
        <w:tc>
          <w:tcPr>
            <w:tcW w:w="1098" w:type="dxa"/>
          </w:tcPr>
          <w:p w14:paraId="266F2B14" w14:textId="77777777" w:rsidR="008615B4" w:rsidRDefault="008615B4" w:rsidP="00B17F95">
            <w:pPr>
              <w:pStyle w:val="table"/>
              <w:keepNext/>
            </w:pPr>
            <w:r>
              <w:t>***</w:t>
            </w:r>
          </w:p>
        </w:tc>
        <w:tc>
          <w:tcPr>
            <w:tcW w:w="1062" w:type="dxa"/>
          </w:tcPr>
          <w:p w14:paraId="11D46E24" w14:textId="77777777" w:rsidR="008615B4" w:rsidRDefault="008615B4" w:rsidP="00B17F95">
            <w:pPr>
              <w:pStyle w:val="table"/>
              <w:keepNext/>
            </w:pPr>
          </w:p>
        </w:tc>
        <w:tc>
          <w:tcPr>
            <w:tcW w:w="1170" w:type="dxa"/>
          </w:tcPr>
          <w:p w14:paraId="1D9226AF" w14:textId="77777777" w:rsidR="008615B4" w:rsidRDefault="008615B4" w:rsidP="00B17F95">
            <w:pPr>
              <w:pStyle w:val="table"/>
              <w:keepNext/>
            </w:pPr>
            <w:r>
              <w:t>***</w:t>
            </w:r>
          </w:p>
        </w:tc>
      </w:tr>
      <w:tr w:rsidR="008615B4" w14:paraId="42C985D9" w14:textId="77777777" w:rsidTr="005003B6">
        <w:tc>
          <w:tcPr>
            <w:tcW w:w="4158" w:type="dxa"/>
          </w:tcPr>
          <w:p w14:paraId="38C40129" w14:textId="77777777" w:rsidR="008615B4" w:rsidRDefault="008615B4" w:rsidP="00B17F95">
            <w:pPr>
              <w:pStyle w:val="table"/>
              <w:keepNext/>
            </w:pPr>
            <w:r>
              <w:t>goal vs. source</w:t>
            </w:r>
          </w:p>
        </w:tc>
        <w:tc>
          <w:tcPr>
            <w:tcW w:w="1098" w:type="dxa"/>
          </w:tcPr>
          <w:p w14:paraId="526D55AA" w14:textId="77777777" w:rsidR="008615B4" w:rsidRDefault="008615B4" w:rsidP="00B17F95">
            <w:pPr>
              <w:pStyle w:val="table"/>
              <w:keepNext/>
            </w:pPr>
            <w:r>
              <w:t>*</w:t>
            </w:r>
          </w:p>
        </w:tc>
        <w:tc>
          <w:tcPr>
            <w:tcW w:w="1062" w:type="dxa"/>
          </w:tcPr>
          <w:p w14:paraId="477C3772" w14:textId="77777777" w:rsidR="008615B4" w:rsidRDefault="008615B4" w:rsidP="00B17F95">
            <w:pPr>
              <w:pStyle w:val="table"/>
              <w:keepNext/>
            </w:pPr>
            <w:r>
              <w:t>**</w:t>
            </w:r>
          </w:p>
        </w:tc>
        <w:tc>
          <w:tcPr>
            <w:tcW w:w="1170" w:type="dxa"/>
          </w:tcPr>
          <w:p w14:paraId="0367DE58" w14:textId="77777777" w:rsidR="008615B4" w:rsidRDefault="008615B4" w:rsidP="00B17F95">
            <w:pPr>
              <w:pStyle w:val="table"/>
              <w:keepNext/>
            </w:pPr>
          </w:p>
        </w:tc>
      </w:tr>
      <w:tr w:rsidR="008615B4" w14:paraId="7D2F6008" w14:textId="77777777" w:rsidTr="005003B6">
        <w:tc>
          <w:tcPr>
            <w:tcW w:w="4158" w:type="dxa"/>
          </w:tcPr>
          <w:p w14:paraId="4820B24B" w14:textId="115FB7CD" w:rsidR="008615B4" w:rsidRDefault="007F3E1B" w:rsidP="00B17F95">
            <w:pPr>
              <w:pStyle w:val="table"/>
              <w:keepNext/>
            </w:pPr>
            <w:bookmarkStart w:id="0" w:name="OLE_LINK1"/>
            <w:r>
              <w:t>different vs. same</w:t>
            </w:r>
            <w:r w:rsidR="008615B4">
              <w:t xml:space="preserve"> gender</w:t>
            </w:r>
            <w:bookmarkEnd w:id="0"/>
          </w:p>
        </w:tc>
        <w:tc>
          <w:tcPr>
            <w:tcW w:w="1098" w:type="dxa"/>
          </w:tcPr>
          <w:p w14:paraId="2964C6A2" w14:textId="77777777" w:rsidR="008615B4" w:rsidRDefault="008615B4" w:rsidP="00B17F95">
            <w:pPr>
              <w:pStyle w:val="table"/>
              <w:keepNext/>
            </w:pPr>
          </w:p>
        </w:tc>
        <w:tc>
          <w:tcPr>
            <w:tcW w:w="1062" w:type="dxa"/>
          </w:tcPr>
          <w:p w14:paraId="1A24F119" w14:textId="77777777" w:rsidR="008615B4" w:rsidRDefault="008615B4" w:rsidP="00B17F95">
            <w:pPr>
              <w:pStyle w:val="table"/>
              <w:keepNext/>
            </w:pPr>
            <w:r>
              <w:t>(*)</w:t>
            </w:r>
          </w:p>
        </w:tc>
        <w:tc>
          <w:tcPr>
            <w:tcW w:w="1170" w:type="dxa"/>
          </w:tcPr>
          <w:p w14:paraId="1642010F" w14:textId="77777777" w:rsidR="008615B4" w:rsidRDefault="008615B4" w:rsidP="00B17F95">
            <w:pPr>
              <w:pStyle w:val="table"/>
              <w:keepNext/>
            </w:pPr>
          </w:p>
        </w:tc>
      </w:tr>
      <w:tr w:rsidR="008615B4" w14:paraId="521F8094" w14:textId="77777777" w:rsidTr="005003B6">
        <w:trPr>
          <w:trHeight w:val="305"/>
        </w:trPr>
        <w:tc>
          <w:tcPr>
            <w:tcW w:w="4158" w:type="dxa"/>
          </w:tcPr>
          <w:p w14:paraId="1D840CF8" w14:textId="77777777" w:rsidR="008615B4" w:rsidRDefault="008615B4" w:rsidP="00B17F95">
            <w:pPr>
              <w:pStyle w:val="table"/>
              <w:keepNext/>
            </w:pPr>
            <w:r>
              <w:t>subject x goal</w:t>
            </w:r>
          </w:p>
        </w:tc>
        <w:tc>
          <w:tcPr>
            <w:tcW w:w="1098" w:type="dxa"/>
          </w:tcPr>
          <w:p w14:paraId="6DF23585" w14:textId="77777777" w:rsidR="008615B4" w:rsidRDefault="008615B4" w:rsidP="00B17F95">
            <w:pPr>
              <w:pStyle w:val="table"/>
              <w:keepNext/>
            </w:pPr>
          </w:p>
        </w:tc>
        <w:tc>
          <w:tcPr>
            <w:tcW w:w="1062" w:type="dxa"/>
          </w:tcPr>
          <w:p w14:paraId="7FFC2EB1" w14:textId="77777777" w:rsidR="008615B4" w:rsidRDefault="008615B4" w:rsidP="00B17F95">
            <w:pPr>
              <w:pStyle w:val="table"/>
              <w:keepNext/>
            </w:pPr>
          </w:p>
        </w:tc>
        <w:tc>
          <w:tcPr>
            <w:tcW w:w="1170" w:type="dxa"/>
          </w:tcPr>
          <w:p w14:paraId="0898346A" w14:textId="77777777" w:rsidR="008615B4" w:rsidRDefault="008615B4" w:rsidP="00B17F95">
            <w:pPr>
              <w:pStyle w:val="table"/>
              <w:keepNext/>
            </w:pPr>
          </w:p>
        </w:tc>
      </w:tr>
      <w:tr w:rsidR="008615B4" w14:paraId="4A83F311" w14:textId="77777777" w:rsidTr="005003B6">
        <w:tc>
          <w:tcPr>
            <w:tcW w:w="4158" w:type="dxa"/>
          </w:tcPr>
          <w:p w14:paraId="1D947ED7" w14:textId="77777777" w:rsidR="008615B4" w:rsidRDefault="008615B4" w:rsidP="00B17F95">
            <w:pPr>
              <w:pStyle w:val="table"/>
              <w:keepNext/>
            </w:pPr>
            <w:r>
              <w:t>goal x gender</w:t>
            </w:r>
          </w:p>
        </w:tc>
        <w:tc>
          <w:tcPr>
            <w:tcW w:w="1098" w:type="dxa"/>
          </w:tcPr>
          <w:p w14:paraId="64D2C61C" w14:textId="671D612C" w:rsidR="008615B4" w:rsidRDefault="008615B4" w:rsidP="00B17F95">
            <w:pPr>
              <w:pStyle w:val="table"/>
              <w:keepNext/>
            </w:pPr>
          </w:p>
        </w:tc>
        <w:tc>
          <w:tcPr>
            <w:tcW w:w="1062" w:type="dxa"/>
          </w:tcPr>
          <w:p w14:paraId="05070F5F" w14:textId="77777777" w:rsidR="008615B4" w:rsidRDefault="008615B4" w:rsidP="00B17F95">
            <w:pPr>
              <w:pStyle w:val="table"/>
              <w:keepNext/>
            </w:pPr>
          </w:p>
        </w:tc>
        <w:tc>
          <w:tcPr>
            <w:tcW w:w="1170" w:type="dxa"/>
          </w:tcPr>
          <w:p w14:paraId="7AE551E7" w14:textId="77777777" w:rsidR="008615B4" w:rsidRDefault="008615B4" w:rsidP="00B17F95">
            <w:pPr>
              <w:pStyle w:val="table"/>
              <w:keepNext/>
            </w:pPr>
          </w:p>
        </w:tc>
      </w:tr>
      <w:tr w:rsidR="008615B4" w14:paraId="04E1AE59" w14:textId="77777777" w:rsidTr="005003B6">
        <w:tc>
          <w:tcPr>
            <w:tcW w:w="4158" w:type="dxa"/>
          </w:tcPr>
          <w:p w14:paraId="4310BF99" w14:textId="77777777" w:rsidR="008615B4" w:rsidRDefault="008615B4" w:rsidP="00B17F95">
            <w:pPr>
              <w:pStyle w:val="table"/>
              <w:keepNext/>
            </w:pPr>
            <w:r>
              <w:t>subject x gender</w:t>
            </w:r>
          </w:p>
        </w:tc>
        <w:tc>
          <w:tcPr>
            <w:tcW w:w="1098" w:type="dxa"/>
          </w:tcPr>
          <w:p w14:paraId="7493240D" w14:textId="77777777" w:rsidR="008615B4" w:rsidRDefault="008615B4" w:rsidP="00B17F95">
            <w:pPr>
              <w:pStyle w:val="table"/>
              <w:keepNext/>
            </w:pPr>
          </w:p>
        </w:tc>
        <w:tc>
          <w:tcPr>
            <w:tcW w:w="1062" w:type="dxa"/>
          </w:tcPr>
          <w:p w14:paraId="4BDAEDE6" w14:textId="77777777" w:rsidR="008615B4" w:rsidRDefault="008615B4" w:rsidP="00B17F95">
            <w:pPr>
              <w:pStyle w:val="table"/>
              <w:keepNext/>
            </w:pPr>
          </w:p>
        </w:tc>
        <w:tc>
          <w:tcPr>
            <w:tcW w:w="1170" w:type="dxa"/>
          </w:tcPr>
          <w:p w14:paraId="28E56F0A" w14:textId="77777777" w:rsidR="008615B4" w:rsidRDefault="008615B4" w:rsidP="00B17F95">
            <w:pPr>
              <w:pStyle w:val="table"/>
              <w:keepNext/>
            </w:pPr>
          </w:p>
        </w:tc>
      </w:tr>
      <w:tr w:rsidR="008615B4" w14:paraId="222C05B0" w14:textId="77777777" w:rsidTr="005003B6">
        <w:tc>
          <w:tcPr>
            <w:tcW w:w="4158" w:type="dxa"/>
          </w:tcPr>
          <w:p w14:paraId="60EA4C65" w14:textId="77777777" w:rsidR="008615B4" w:rsidRDefault="008615B4" w:rsidP="00B17F95">
            <w:pPr>
              <w:pStyle w:val="table"/>
              <w:keepNext/>
            </w:pPr>
            <w:r>
              <w:t>subject x goal x gender</w:t>
            </w:r>
          </w:p>
        </w:tc>
        <w:tc>
          <w:tcPr>
            <w:tcW w:w="1098" w:type="dxa"/>
          </w:tcPr>
          <w:p w14:paraId="1781A426" w14:textId="77777777" w:rsidR="008615B4" w:rsidRDefault="008615B4" w:rsidP="00B17F95">
            <w:pPr>
              <w:pStyle w:val="table"/>
              <w:keepNext/>
            </w:pPr>
          </w:p>
        </w:tc>
        <w:tc>
          <w:tcPr>
            <w:tcW w:w="1062" w:type="dxa"/>
          </w:tcPr>
          <w:p w14:paraId="6382F708" w14:textId="77777777" w:rsidR="008615B4" w:rsidRDefault="008615B4" w:rsidP="00B17F95">
            <w:pPr>
              <w:pStyle w:val="table"/>
              <w:keepNext/>
            </w:pPr>
          </w:p>
        </w:tc>
        <w:tc>
          <w:tcPr>
            <w:tcW w:w="1170" w:type="dxa"/>
          </w:tcPr>
          <w:p w14:paraId="324BD4B6" w14:textId="77777777" w:rsidR="008615B4" w:rsidRDefault="008615B4" w:rsidP="00B17F95">
            <w:pPr>
              <w:pStyle w:val="table"/>
              <w:keepNext/>
            </w:pPr>
          </w:p>
        </w:tc>
      </w:tr>
    </w:tbl>
    <w:p w14:paraId="0DE2F3ED" w14:textId="77777777" w:rsidR="008615B4" w:rsidRDefault="008615B4" w:rsidP="00B17F95">
      <w:pPr>
        <w:pStyle w:val="table"/>
        <w:keepNext/>
      </w:pPr>
      <w:r>
        <w:t>*** = p &lt; .001</w:t>
      </w:r>
    </w:p>
    <w:p w14:paraId="56B48D68" w14:textId="77777777" w:rsidR="008615B4" w:rsidRDefault="008615B4" w:rsidP="00B17F95">
      <w:pPr>
        <w:pStyle w:val="table"/>
        <w:keepNext/>
      </w:pPr>
      <w:r>
        <w:t>** = .001 &lt; p &lt; .01</w:t>
      </w:r>
    </w:p>
    <w:p w14:paraId="67A1C577" w14:textId="77777777" w:rsidR="008615B4" w:rsidRDefault="008615B4" w:rsidP="00B17F95">
      <w:pPr>
        <w:pStyle w:val="table"/>
        <w:keepNext/>
      </w:pPr>
      <w:r>
        <w:t>* = .01 &lt; p &lt; .05</w:t>
      </w:r>
    </w:p>
    <w:p w14:paraId="44215BA5" w14:textId="77777777" w:rsidR="008615B4" w:rsidRDefault="008615B4" w:rsidP="00B17F95">
      <w:pPr>
        <w:pStyle w:val="table"/>
        <w:keepNext/>
      </w:pPr>
      <w:r w:rsidRPr="00DF5C91">
        <w:t>(*) = .05 &lt; p &lt; 0.1</w:t>
      </w:r>
    </w:p>
    <w:p w14:paraId="1291E03D" w14:textId="3C43AF2B" w:rsidR="00D011E8" w:rsidRDefault="00D011E8" w:rsidP="00D011E8">
      <w:pPr>
        <w:pStyle w:val="examples"/>
        <w:rPr>
          <w:lang w:val="it-IT" w:eastAsia="it-IT" w:bidi="bn-BD"/>
        </w:rPr>
      </w:pPr>
    </w:p>
    <w:p w14:paraId="17F84D9A" w14:textId="3D13F1BF" w:rsidR="00D011E8" w:rsidRDefault="00D011E8" w:rsidP="00B17F95">
      <w:pPr>
        <w:pStyle w:val="examples"/>
        <w:keepNext/>
        <w:rPr>
          <w:lang w:val="it-IT" w:eastAsia="it-IT" w:bidi="bn-BD"/>
        </w:rPr>
      </w:pPr>
      <w:r>
        <w:rPr>
          <w:lang w:val="it-IT" w:eastAsia="it-IT" w:bidi="bn-BD"/>
        </w:rPr>
        <w:drawing>
          <wp:inline distT="0" distB="0" distL="0" distR="0" wp14:anchorId="22247D33" wp14:editId="0104C8B6">
            <wp:extent cx="2803237" cy="2256366"/>
            <wp:effectExtent l="0" t="0" r="16510" b="10795"/>
            <wp:docPr id="2" name="Chart 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lang w:val="it-IT" w:eastAsia="it-IT" w:bidi="bn-BD"/>
        </w:rPr>
        <w:drawing>
          <wp:inline distT="0" distB="0" distL="0" distR="0" wp14:anchorId="7CA324AA" wp14:editId="336F9613">
            <wp:extent cx="2858270" cy="2243282"/>
            <wp:effectExtent l="0" t="0" r="18415" b="5080"/>
            <wp:docPr id="6" name="Chart 6">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C5DE78" w14:textId="31AD5884" w:rsidR="00D011E8" w:rsidRDefault="00D011E8" w:rsidP="00B17F95">
      <w:pPr>
        <w:pStyle w:val="examples"/>
        <w:keepNext/>
        <w:rPr>
          <w:lang w:val="it-IT" w:eastAsia="it-IT" w:bidi="bn-BD"/>
        </w:rPr>
      </w:pPr>
      <w:r>
        <w:rPr>
          <w:lang w:val="it-IT" w:eastAsia="it-IT" w:bidi="bn-BD"/>
        </w:rPr>
        <w:t>Figure 6</w:t>
      </w:r>
      <w:r w:rsidRPr="00CF22CB">
        <w:rPr>
          <w:lang w:val="it-IT" w:eastAsia="it-IT" w:bidi="bn-BD"/>
        </w:rPr>
        <w:t>. Experiment 2: Average</w:t>
      </w:r>
      <w:r>
        <w:rPr>
          <w:lang w:val="it-IT" w:eastAsia="it-IT" w:bidi="bn-BD"/>
        </w:rPr>
        <w:t xml:space="preserve"> rate of using null and overt pronouns </w:t>
      </w:r>
      <w:r w:rsidR="00AE0E3D">
        <w:rPr>
          <w:lang w:val="it-IT" w:eastAsia="it-IT" w:bidi="bn-BD"/>
        </w:rPr>
        <w:t xml:space="preserve">by </w:t>
      </w:r>
      <w:r>
        <w:rPr>
          <w:lang w:val="it-IT" w:eastAsia="it-IT" w:bidi="bn-BD"/>
        </w:rPr>
        <w:t xml:space="preserve">subjecthood </w:t>
      </w:r>
      <w:r w:rsidR="00AE0E3D">
        <w:rPr>
          <w:lang w:val="it-IT" w:eastAsia="it-IT" w:bidi="bn-BD"/>
        </w:rPr>
        <w:t>and thematic role.</w:t>
      </w:r>
      <w:r w:rsidR="00D1623F">
        <w:rPr>
          <w:lang w:val="it-IT" w:eastAsia="it-IT" w:bidi="bn-BD"/>
        </w:rPr>
        <w:t xml:space="preserve"> Overt pronouns </w:t>
      </w:r>
      <w:r w:rsidR="00122A85">
        <w:rPr>
          <w:lang w:val="it-IT" w:eastAsia="it-IT" w:bidi="bn-BD"/>
        </w:rPr>
        <w:t>were</w:t>
      </w:r>
      <w:r w:rsidR="00D1623F">
        <w:rPr>
          <w:lang w:val="it-IT" w:eastAsia="it-IT" w:bidi="bn-BD"/>
        </w:rPr>
        <w:t xml:space="preserve"> more frequent for goals than sources (See Table 3).</w:t>
      </w:r>
    </w:p>
    <w:p w14:paraId="62B6732F" w14:textId="40216BBC" w:rsidR="008615B4" w:rsidRPr="0044315C" w:rsidRDefault="008615B4" w:rsidP="00200B6F">
      <w:pPr>
        <w:pStyle w:val="Heading3"/>
        <w:rPr>
          <w:lang w:eastAsia="en-US"/>
        </w:rPr>
      </w:pPr>
      <w:r w:rsidRPr="2EBC3AA5">
        <w:rPr>
          <w:lang w:eastAsia="en-US"/>
        </w:rPr>
        <w:t>Pronoun users v</w:t>
      </w:r>
      <w:r w:rsidRPr="00200B6F">
        <w:rPr>
          <w:rFonts w:eastAsiaTheme="minorEastAsia"/>
        </w:rPr>
        <w:t>s</w:t>
      </w:r>
      <w:r w:rsidRPr="2EBC3AA5">
        <w:rPr>
          <w:lang w:eastAsia="en-US"/>
        </w:rPr>
        <w:t>. No-pronoun users</w:t>
      </w:r>
    </w:p>
    <w:p w14:paraId="0C6DAB3E" w14:textId="11BCA0D9" w:rsidR="008615B4" w:rsidRDefault="008615B4" w:rsidP="008615B4">
      <w:pPr>
        <w:pStyle w:val="body"/>
        <w:rPr>
          <w:lang w:eastAsia="en-US"/>
        </w:rPr>
      </w:pPr>
      <w:r w:rsidRPr="00C44F3D">
        <w:rPr>
          <w:lang w:eastAsia="en-US"/>
        </w:rPr>
        <w:t xml:space="preserve">Out of our 26 participants, 9 (35%) used only </w:t>
      </w:r>
      <w:r w:rsidRPr="00C44F3D">
        <w:rPr>
          <w:lang w:eastAsia="ja-JP"/>
        </w:rPr>
        <w:t>name</w:t>
      </w:r>
      <w:r w:rsidR="00982D62">
        <w:rPr>
          <w:lang w:eastAsia="ja-JP"/>
        </w:rPr>
        <w:t>s</w:t>
      </w:r>
      <w:r w:rsidRPr="00C44F3D">
        <w:rPr>
          <w:lang w:eastAsia="ja-JP"/>
        </w:rPr>
        <w:t>/description</w:t>
      </w:r>
      <w:r w:rsidR="00982D62">
        <w:rPr>
          <w:lang w:eastAsia="ja-JP"/>
        </w:rPr>
        <w:t>s</w:t>
      </w:r>
      <w:r w:rsidRPr="00C44F3D">
        <w:rPr>
          <w:lang w:eastAsia="en-US"/>
        </w:rPr>
        <w:t xml:space="preserve"> and null pronouns, while 17 used all three forms. Table</w:t>
      </w:r>
      <w:r w:rsidRPr="2EBC3AA5">
        <w:rPr>
          <w:lang w:eastAsia="en-US"/>
        </w:rPr>
        <w:t xml:space="preserve"> </w:t>
      </w:r>
      <w:r w:rsidR="004D0DF6">
        <w:rPr>
          <w:lang w:eastAsia="en-US"/>
        </w:rPr>
        <w:t>5</w:t>
      </w:r>
      <w:r w:rsidRPr="2EBC3AA5">
        <w:rPr>
          <w:lang w:eastAsia="en-US"/>
        </w:rPr>
        <w:t xml:space="preserve"> lists the number of participants by country of origin </w:t>
      </w:r>
      <w:r w:rsidRPr="2EBC3AA5">
        <w:rPr>
          <w:lang w:eastAsia="en-US"/>
        </w:rPr>
        <w:lastRenderedPageBreak/>
        <w:t xml:space="preserve">who fell in each group. </w:t>
      </w:r>
      <w:r w:rsidR="002B6C3B">
        <w:rPr>
          <w:lang w:eastAsia="en-US"/>
        </w:rPr>
        <w:t>A</w:t>
      </w:r>
      <w:r w:rsidRPr="2EBC3AA5">
        <w:rPr>
          <w:lang w:eastAsia="en-US"/>
        </w:rPr>
        <w:t xml:space="preserve">s in </w:t>
      </w:r>
      <w:r w:rsidR="002B6C3B">
        <w:rPr>
          <w:lang w:eastAsia="en-US"/>
        </w:rPr>
        <w:t>E</w:t>
      </w:r>
      <w:r w:rsidRPr="2EBC3AA5">
        <w:rPr>
          <w:lang w:eastAsia="en-US"/>
        </w:rPr>
        <w:t xml:space="preserve">xperiment 1, there were many countries with individuals </w:t>
      </w:r>
      <w:r w:rsidR="008B2F04">
        <w:rPr>
          <w:lang w:eastAsia="en-US"/>
        </w:rPr>
        <w:t>in</w:t>
      </w:r>
      <w:r w:rsidRPr="2EBC3AA5">
        <w:rPr>
          <w:lang w:eastAsia="en-US"/>
        </w:rPr>
        <w:t xml:space="preserve"> both groups. This overlap was more salient in </w:t>
      </w:r>
      <w:r w:rsidR="009C1006">
        <w:rPr>
          <w:lang w:eastAsia="en-US"/>
        </w:rPr>
        <w:t>E</w:t>
      </w:r>
      <w:r w:rsidRPr="2EBC3AA5">
        <w:rPr>
          <w:lang w:eastAsia="en-US"/>
        </w:rPr>
        <w:t>xperiment 2 data, as demonstrated in Table 4.</w:t>
      </w:r>
    </w:p>
    <w:p w14:paraId="664F22D7" w14:textId="77777777" w:rsidR="008615B4" w:rsidRDefault="008615B4" w:rsidP="008615B4">
      <w:pPr>
        <w:pStyle w:val="body"/>
        <w:rPr>
          <w:lang w:eastAsia="en-US"/>
        </w:rPr>
      </w:pPr>
    </w:p>
    <w:p w14:paraId="04F89097" w14:textId="40999A2A" w:rsidR="008615B4" w:rsidRDefault="008615B4" w:rsidP="00B17F95">
      <w:pPr>
        <w:pStyle w:val="table"/>
        <w:keepNext/>
        <w:rPr>
          <w:lang w:eastAsia="en-US"/>
        </w:rPr>
      </w:pPr>
      <w:r w:rsidRPr="00A75A9B">
        <w:rPr>
          <w:lang w:eastAsia="en-US"/>
        </w:rPr>
        <w:t xml:space="preserve">Table </w:t>
      </w:r>
      <w:r w:rsidR="004D0DF6">
        <w:rPr>
          <w:lang w:eastAsia="en-US"/>
        </w:rPr>
        <w:t>5</w:t>
      </w:r>
      <w:r w:rsidRPr="00A75A9B">
        <w:rPr>
          <w:lang w:eastAsia="en-US"/>
        </w:rPr>
        <w:t>.</w:t>
      </w:r>
      <w:r w:rsidRPr="2EBC3AA5">
        <w:rPr>
          <w:lang w:eastAsia="en-US"/>
        </w:rPr>
        <w:t xml:space="preserve">  Participants who used pronouns (or not) based on their country of origin. </w:t>
      </w:r>
    </w:p>
    <w:tbl>
      <w:tblPr>
        <w:tblStyle w:val="PlainTable41"/>
        <w:tblW w:w="5498" w:type="dxa"/>
        <w:tblLook w:val="04A0" w:firstRow="1" w:lastRow="0" w:firstColumn="1" w:lastColumn="0" w:noHBand="0" w:noVBand="1"/>
      </w:tblPr>
      <w:tblGrid>
        <w:gridCol w:w="2461"/>
        <w:gridCol w:w="338"/>
        <w:gridCol w:w="2361"/>
        <w:gridCol w:w="338"/>
      </w:tblGrid>
      <w:tr w:rsidR="008615B4" w:rsidRPr="006063D8" w14:paraId="20979A7B" w14:textId="77777777" w:rsidTr="005003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9" w:type="dxa"/>
            <w:gridSpan w:val="2"/>
            <w:tcBorders>
              <w:bottom w:val="single" w:sz="12" w:space="0" w:color="auto"/>
            </w:tcBorders>
            <w:noWrap/>
            <w:hideMark/>
          </w:tcPr>
          <w:p w14:paraId="4ECF9558" w14:textId="77777777" w:rsidR="008615B4" w:rsidRPr="009003FE" w:rsidRDefault="008615B4" w:rsidP="00B17F95">
            <w:pPr>
              <w:pStyle w:val="table"/>
              <w:keepNext/>
              <w:rPr>
                <w:rFonts w:ascii="Calibri" w:eastAsia="Times New Roman" w:hAnsi="Calibri"/>
                <w:color w:val="000000"/>
              </w:rPr>
            </w:pPr>
            <w:r w:rsidRPr="009003FE">
              <w:rPr>
                <w:rFonts w:ascii="Calibri" w:eastAsia="Times New Roman" w:hAnsi="Calibri"/>
                <w:color w:val="000000"/>
              </w:rPr>
              <w:t>Pronoun users</w:t>
            </w:r>
          </w:p>
        </w:tc>
        <w:tc>
          <w:tcPr>
            <w:tcW w:w="2699" w:type="dxa"/>
            <w:gridSpan w:val="2"/>
            <w:tcBorders>
              <w:bottom w:val="single" w:sz="12" w:space="0" w:color="auto"/>
            </w:tcBorders>
            <w:noWrap/>
            <w:hideMark/>
          </w:tcPr>
          <w:p w14:paraId="0CA13C6B" w14:textId="77777777" w:rsidR="008615B4" w:rsidRPr="009003FE" w:rsidRDefault="008615B4" w:rsidP="00B17F95">
            <w:pPr>
              <w:pStyle w:val="table"/>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rPr>
            </w:pPr>
            <w:r w:rsidRPr="009003FE">
              <w:rPr>
                <w:rFonts w:ascii="Calibri" w:eastAsia="Times New Roman" w:hAnsi="Calibri"/>
                <w:color w:val="000000"/>
              </w:rPr>
              <w:t>No-pronoun users</w:t>
            </w:r>
          </w:p>
        </w:tc>
      </w:tr>
      <w:tr w:rsidR="008615B4" w:rsidRPr="006063D8" w14:paraId="76364BA4" w14:textId="77777777" w:rsidTr="00500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tcBorders>
              <w:top w:val="single" w:sz="12" w:space="0" w:color="auto"/>
            </w:tcBorders>
            <w:noWrap/>
          </w:tcPr>
          <w:p w14:paraId="730E30B4" w14:textId="77777777" w:rsidR="008615B4" w:rsidRPr="001326F8" w:rsidRDefault="008615B4" w:rsidP="00B17F95">
            <w:pPr>
              <w:pStyle w:val="table"/>
              <w:keepNext/>
              <w:rPr>
                <w:rFonts w:ascii="Calibri" w:eastAsia="Times New Roman" w:hAnsi="Calibri"/>
                <w:b w:val="0"/>
                <w:color w:val="000000"/>
              </w:rPr>
            </w:pPr>
            <w:r w:rsidRPr="001326F8">
              <w:rPr>
                <w:rFonts w:ascii="Calibri" w:eastAsia="Times New Roman" w:hAnsi="Calibri"/>
                <w:b w:val="0"/>
                <w:color w:val="000000"/>
              </w:rPr>
              <w:t>Colombia/Argentina</w:t>
            </w:r>
          </w:p>
        </w:tc>
        <w:tc>
          <w:tcPr>
            <w:tcW w:w="338" w:type="dxa"/>
            <w:tcBorders>
              <w:top w:val="single" w:sz="12" w:space="0" w:color="auto"/>
            </w:tcBorders>
            <w:noWrap/>
          </w:tcPr>
          <w:p w14:paraId="026F694C" w14:textId="77777777" w:rsidR="008615B4" w:rsidRPr="006063D8" w:rsidRDefault="008615B4" w:rsidP="00B17F95">
            <w:pPr>
              <w:pStyle w:val="table"/>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2361" w:type="dxa"/>
            <w:tcBorders>
              <w:top w:val="single" w:sz="12" w:space="0" w:color="auto"/>
            </w:tcBorders>
            <w:noWrap/>
          </w:tcPr>
          <w:p w14:paraId="07273E7D" w14:textId="77777777" w:rsidR="008615B4" w:rsidRPr="006063D8" w:rsidRDefault="008615B4" w:rsidP="00B17F95">
            <w:pPr>
              <w:pStyle w:val="table"/>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 xml:space="preserve">Colombia                    </w:t>
            </w:r>
          </w:p>
        </w:tc>
        <w:tc>
          <w:tcPr>
            <w:tcW w:w="338" w:type="dxa"/>
            <w:tcBorders>
              <w:top w:val="single" w:sz="12" w:space="0" w:color="auto"/>
            </w:tcBorders>
            <w:noWrap/>
          </w:tcPr>
          <w:p w14:paraId="0794E588" w14:textId="77777777" w:rsidR="008615B4" w:rsidRPr="006063D8" w:rsidRDefault="008615B4" w:rsidP="00B17F95">
            <w:pPr>
              <w:pStyle w:val="table"/>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8615B4" w:rsidRPr="006063D8" w14:paraId="78A780B0" w14:textId="77777777" w:rsidTr="005003B6">
        <w:trPr>
          <w:trHeight w:val="300"/>
        </w:trPr>
        <w:tc>
          <w:tcPr>
            <w:cnfStyle w:val="001000000000" w:firstRow="0" w:lastRow="0" w:firstColumn="1" w:lastColumn="0" w:oddVBand="0" w:evenVBand="0" w:oddHBand="0" w:evenHBand="0" w:firstRowFirstColumn="0" w:firstRowLastColumn="0" w:lastRowFirstColumn="0" w:lastRowLastColumn="0"/>
            <w:tcW w:w="2461" w:type="dxa"/>
            <w:noWrap/>
          </w:tcPr>
          <w:p w14:paraId="1C00BAD6" w14:textId="77777777" w:rsidR="008615B4" w:rsidRPr="001326F8" w:rsidRDefault="008615B4" w:rsidP="00B17F95">
            <w:pPr>
              <w:pStyle w:val="table"/>
              <w:keepNext/>
              <w:rPr>
                <w:rFonts w:ascii="Calibri" w:eastAsia="Times New Roman" w:hAnsi="Calibri"/>
                <w:b w:val="0"/>
                <w:color w:val="000000"/>
              </w:rPr>
            </w:pPr>
            <w:r w:rsidRPr="001326F8">
              <w:rPr>
                <w:rFonts w:ascii="Calibri" w:eastAsia="Times New Roman" w:hAnsi="Calibri"/>
                <w:b w:val="0"/>
                <w:color w:val="000000"/>
              </w:rPr>
              <w:t>Colombia</w:t>
            </w:r>
          </w:p>
        </w:tc>
        <w:tc>
          <w:tcPr>
            <w:tcW w:w="338" w:type="dxa"/>
            <w:noWrap/>
          </w:tcPr>
          <w:p w14:paraId="630C51AC" w14:textId="77777777" w:rsidR="008615B4" w:rsidRPr="006063D8" w:rsidRDefault="008615B4" w:rsidP="00B17F95">
            <w:pPr>
              <w:pStyle w:val="table"/>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6063D8">
              <w:rPr>
                <w:rFonts w:ascii="Calibri" w:eastAsia="Times New Roman" w:hAnsi="Calibri"/>
                <w:color w:val="000000"/>
              </w:rPr>
              <w:t>1</w:t>
            </w:r>
          </w:p>
        </w:tc>
        <w:tc>
          <w:tcPr>
            <w:tcW w:w="2361" w:type="dxa"/>
            <w:noWrap/>
          </w:tcPr>
          <w:p w14:paraId="6AA61A95" w14:textId="77777777" w:rsidR="008615B4" w:rsidRPr="006063D8" w:rsidRDefault="008615B4" w:rsidP="00B17F95">
            <w:pPr>
              <w:pStyle w:val="table"/>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 xml:space="preserve">Peru                            </w:t>
            </w:r>
          </w:p>
        </w:tc>
        <w:tc>
          <w:tcPr>
            <w:tcW w:w="338" w:type="dxa"/>
            <w:noWrap/>
          </w:tcPr>
          <w:p w14:paraId="0156C3F0" w14:textId="77777777" w:rsidR="008615B4" w:rsidRPr="006063D8" w:rsidRDefault="008615B4" w:rsidP="00B17F95">
            <w:pPr>
              <w:pStyle w:val="table"/>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825677" w:rsidRPr="006063D8" w14:paraId="31370109" w14:textId="77777777" w:rsidTr="00500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tcPr>
          <w:p w14:paraId="4D00CA1D" w14:textId="77777777" w:rsidR="00825677" w:rsidRPr="001326F8" w:rsidRDefault="00825677" w:rsidP="00B17F95">
            <w:pPr>
              <w:pStyle w:val="table"/>
              <w:keepNext/>
              <w:rPr>
                <w:rFonts w:ascii="Calibri" w:eastAsia="Times New Roman" w:hAnsi="Calibri"/>
                <w:b w:val="0"/>
                <w:color w:val="000000"/>
              </w:rPr>
            </w:pPr>
            <w:r w:rsidRPr="001326F8">
              <w:rPr>
                <w:rFonts w:ascii="Calibri" w:eastAsia="Times New Roman" w:hAnsi="Calibri"/>
                <w:b w:val="0"/>
                <w:color w:val="000000"/>
              </w:rPr>
              <w:t>Guatemala</w:t>
            </w:r>
          </w:p>
        </w:tc>
        <w:tc>
          <w:tcPr>
            <w:tcW w:w="338" w:type="dxa"/>
            <w:noWrap/>
          </w:tcPr>
          <w:p w14:paraId="32568863" w14:textId="77777777" w:rsidR="00825677" w:rsidRPr="006063D8" w:rsidRDefault="00825677" w:rsidP="00B17F95">
            <w:pPr>
              <w:pStyle w:val="table"/>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2361" w:type="dxa"/>
            <w:noWrap/>
          </w:tcPr>
          <w:p w14:paraId="3CBB0D3D" w14:textId="071A3791" w:rsidR="00825677" w:rsidRPr="006063D8" w:rsidRDefault="00825677" w:rsidP="00B17F95">
            <w:pPr>
              <w:pStyle w:val="table"/>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2EBC3AA5">
              <w:rPr>
                <w:rFonts w:ascii="Calibri" w:eastAsia="Times New Roman" w:hAnsi="Calibri"/>
                <w:color w:val="000000" w:themeColor="text1"/>
              </w:rPr>
              <w:t>Guatemala</w:t>
            </w:r>
          </w:p>
        </w:tc>
        <w:tc>
          <w:tcPr>
            <w:tcW w:w="338" w:type="dxa"/>
            <w:noWrap/>
          </w:tcPr>
          <w:p w14:paraId="6EF7BDBD" w14:textId="0AF06525" w:rsidR="00825677" w:rsidRPr="006063D8" w:rsidRDefault="00825677" w:rsidP="00B17F95">
            <w:pPr>
              <w:pStyle w:val="table"/>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2EBC3AA5">
              <w:rPr>
                <w:rFonts w:ascii="Calibri" w:eastAsia="Times New Roman" w:hAnsi="Calibri"/>
                <w:color w:val="000000" w:themeColor="text1"/>
              </w:rPr>
              <w:t>1</w:t>
            </w:r>
          </w:p>
        </w:tc>
      </w:tr>
      <w:tr w:rsidR="00825677" w:rsidRPr="006063D8" w14:paraId="1EFF7526" w14:textId="77777777" w:rsidTr="005003B6">
        <w:trPr>
          <w:trHeight w:val="300"/>
        </w:trPr>
        <w:tc>
          <w:tcPr>
            <w:cnfStyle w:val="001000000000" w:firstRow="0" w:lastRow="0" w:firstColumn="1" w:lastColumn="0" w:oddVBand="0" w:evenVBand="0" w:oddHBand="0" w:evenHBand="0" w:firstRowFirstColumn="0" w:firstRowLastColumn="0" w:lastRowFirstColumn="0" w:lastRowLastColumn="0"/>
            <w:tcW w:w="2461" w:type="dxa"/>
            <w:noWrap/>
          </w:tcPr>
          <w:p w14:paraId="262F7609" w14:textId="77777777" w:rsidR="00825677" w:rsidRPr="001326F8" w:rsidRDefault="00825677" w:rsidP="00B17F95">
            <w:pPr>
              <w:pStyle w:val="table"/>
              <w:keepNext/>
              <w:rPr>
                <w:rFonts w:ascii="Calibri" w:eastAsia="Times New Roman" w:hAnsi="Calibri"/>
                <w:b w:val="0"/>
                <w:color w:val="000000"/>
              </w:rPr>
            </w:pPr>
            <w:r w:rsidRPr="001326F8">
              <w:rPr>
                <w:rFonts w:ascii="Calibri" w:eastAsia="Times New Roman" w:hAnsi="Calibri"/>
                <w:b w:val="0"/>
                <w:color w:val="000000"/>
              </w:rPr>
              <w:t>Mexico</w:t>
            </w:r>
          </w:p>
        </w:tc>
        <w:tc>
          <w:tcPr>
            <w:tcW w:w="338" w:type="dxa"/>
            <w:noWrap/>
          </w:tcPr>
          <w:p w14:paraId="05D000DA" w14:textId="77777777" w:rsidR="00825677" w:rsidRPr="006063D8" w:rsidRDefault="00825677" w:rsidP="00B17F95">
            <w:pPr>
              <w:pStyle w:val="table"/>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w:t>
            </w:r>
          </w:p>
        </w:tc>
        <w:tc>
          <w:tcPr>
            <w:tcW w:w="2361" w:type="dxa"/>
            <w:noWrap/>
          </w:tcPr>
          <w:p w14:paraId="17BD6CE9" w14:textId="4364ED4B" w:rsidR="00825677" w:rsidRPr="006063D8" w:rsidRDefault="00825677" w:rsidP="00B17F95">
            <w:pPr>
              <w:pStyle w:val="table"/>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themeColor="text1"/>
              </w:rPr>
            </w:pPr>
            <w:r>
              <w:rPr>
                <w:rFonts w:ascii="Calibri" w:eastAsia="Times New Roman" w:hAnsi="Calibri"/>
                <w:color w:val="000000"/>
              </w:rPr>
              <w:t xml:space="preserve">Mexico                    </w:t>
            </w:r>
          </w:p>
        </w:tc>
        <w:tc>
          <w:tcPr>
            <w:tcW w:w="338" w:type="dxa"/>
            <w:noWrap/>
          </w:tcPr>
          <w:p w14:paraId="5907E595" w14:textId="11F04093" w:rsidR="00825677" w:rsidRPr="006063D8" w:rsidRDefault="00825677" w:rsidP="00B17F95">
            <w:pPr>
              <w:pStyle w:val="table"/>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themeColor="text1"/>
              </w:rPr>
            </w:pPr>
            <w:r>
              <w:rPr>
                <w:rFonts w:ascii="Calibri" w:eastAsia="Times New Roman" w:hAnsi="Calibri"/>
                <w:color w:val="000000"/>
              </w:rPr>
              <w:t>4</w:t>
            </w:r>
          </w:p>
        </w:tc>
      </w:tr>
      <w:tr w:rsidR="00825677" w:rsidRPr="006063D8" w14:paraId="54525CE7" w14:textId="77777777" w:rsidTr="00500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tcPr>
          <w:p w14:paraId="493DFB7C" w14:textId="77777777" w:rsidR="00825677" w:rsidRPr="001326F8" w:rsidRDefault="00825677" w:rsidP="00B17F95">
            <w:pPr>
              <w:pStyle w:val="table"/>
              <w:keepNext/>
              <w:rPr>
                <w:rFonts w:ascii="Calibri" w:eastAsia="Times New Roman" w:hAnsi="Calibri"/>
                <w:b w:val="0"/>
                <w:color w:val="000000"/>
              </w:rPr>
            </w:pPr>
            <w:r w:rsidRPr="001326F8">
              <w:rPr>
                <w:rFonts w:ascii="Calibri" w:eastAsia="Times New Roman" w:hAnsi="Calibri"/>
                <w:b w:val="0"/>
                <w:color w:val="000000"/>
              </w:rPr>
              <w:t>Puerto Rico</w:t>
            </w:r>
          </w:p>
        </w:tc>
        <w:tc>
          <w:tcPr>
            <w:tcW w:w="338" w:type="dxa"/>
            <w:noWrap/>
          </w:tcPr>
          <w:p w14:paraId="69E5A53A" w14:textId="77777777" w:rsidR="00825677" w:rsidRPr="006063D8" w:rsidRDefault="00825677" w:rsidP="00B17F95">
            <w:pPr>
              <w:pStyle w:val="table"/>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themeColor="text1"/>
              </w:rPr>
            </w:pPr>
            <w:r w:rsidRPr="2EBC3AA5">
              <w:rPr>
                <w:rFonts w:ascii="Calibri" w:eastAsia="Times New Roman" w:hAnsi="Calibri"/>
                <w:color w:val="000000" w:themeColor="text1"/>
              </w:rPr>
              <w:t>2</w:t>
            </w:r>
          </w:p>
        </w:tc>
        <w:tc>
          <w:tcPr>
            <w:tcW w:w="2361" w:type="dxa"/>
            <w:noWrap/>
          </w:tcPr>
          <w:p w14:paraId="2A009277" w14:textId="48E9F136" w:rsidR="00825677" w:rsidRPr="006063D8" w:rsidRDefault="00825677" w:rsidP="00B17F95">
            <w:pPr>
              <w:pStyle w:val="table"/>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Venezuela</w:t>
            </w:r>
          </w:p>
        </w:tc>
        <w:tc>
          <w:tcPr>
            <w:tcW w:w="338" w:type="dxa"/>
            <w:noWrap/>
          </w:tcPr>
          <w:p w14:paraId="72FFA463" w14:textId="51D78C18" w:rsidR="00825677" w:rsidRPr="006063D8" w:rsidRDefault="00825677" w:rsidP="00B17F95">
            <w:pPr>
              <w:pStyle w:val="table"/>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825677" w:rsidRPr="006063D8" w14:paraId="62F4130A" w14:textId="77777777" w:rsidTr="005003B6">
        <w:trPr>
          <w:trHeight w:val="300"/>
        </w:trPr>
        <w:tc>
          <w:tcPr>
            <w:cnfStyle w:val="001000000000" w:firstRow="0" w:lastRow="0" w:firstColumn="1" w:lastColumn="0" w:oddVBand="0" w:evenVBand="0" w:oddHBand="0" w:evenHBand="0" w:firstRowFirstColumn="0" w:firstRowLastColumn="0" w:lastRowFirstColumn="0" w:lastRowLastColumn="0"/>
            <w:tcW w:w="2461" w:type="dxa"/>
            <w:noWrap/>
          </w:tcPr>
          <w:p w14:paraId="76C2FC55" w14:textId="77777777" w:rsidR="00825677" w:rsidRPr="001326F8" w:rsidRDefault="00825677" w:rsidP="00B17F95">
            <w:pPr>
              <w:pStyle w:val="table"/>
              <w:keepNext/>
              <w:rPr>
                <w:rFonts w:ascii="Calibri" w:eastAsia="Times New Roman" w:hAnsi="Calibri"/>
                <w:b w:val="0"/>
                <w:color w:val="000000"/>
              </w:rPr>
            </w:pPr>
            <w:r w:rsidRPr="001326F8">
              <w:rPr>
                <w:rFonts w:ascii="Calibri" w:eastAsia="Times New Roman" w:hAnsi="Calibri"/>
                <w:b w:val="0"/>
                <w:color w:val="000000"/>
              </w:rPr>
              <w:t>Venezuela</w:t>
            </w:r>
          </w:p>
        </w:tc>
        <w:tc>
          <w:tcPr>
            <w:tcW w:w="338" w:type="dxa"/>
            <w:noWrap/>
          </w:tcPr>
          <w:p w14:paraId="315730BB" w14:textId="77777777" w:rsidR="00825677" w:rsidRPr="006063D8" w:rsidRDefault="00825677" w:rsidP="00B17F95">
            <w:pPr>
              <w:pStyle w:val="table"/>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w:t>
            </w:r>
          </w:p>
        </w:tc>
        <w:tc>
          <w:tcPr>
            <w:tcW w:w="2361" w:type="dxa"/>
            <w:noWrap/>
          </w:tcPr>
          <w:p w14:paraId="78F5467A" w14:textId="519E8BF0" w:rsidR="00825677" w:rsidRPr="006063D8" w:rsidRDefault="00825677" w:rsidP="00B17F95">
            <w:pPr>
              <w:pStyle w:val="table"/>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338" w:type="dxa"/>
            <w:noWrap/>
          </w:tcPr>
          <w:p w14:paraId="749DC0A3" w14:textId="43273163" w:rsidR="00825677" w:rsidRPr="006063D8" w:rsidRDefault="00825677" w:rsidP="00B17F95">
            <w:pPr>
              <w:pStyle w:val="table"/>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bl>
    <w:p w14:paraId="2307744F" w14:textId="77777777" w:rsidR="008615B4" w:rsidRDefault="008615B4" w:rsidP="008615B4">
      <w:pPr>
        <w:ind w:firstLine="720"/>
        <w:rPr>
          <w:rFonts w:eastAsiaTheme="minorHAnsi"/>
          <w:b/>
          <w:i/>
        </w:rPr>
      </w:pPr>
    </w:p>
    <w:p w14:paraId="28BABAB2" w14:textId="74A03A35" w:rsidR="008615B4" w:rsidRPr="002A34B0" w:rsidRDefault="008615B4" w:rsidP="005571D6">
      <w:pPr>
        <w:pStyle w:val="body"/>
        <w:rPr>
          <w:rStyle w:val="apple-converted-space"/>
        </w:rPr>
      </w:pPr>
      <w:r w:rsidRPr="2EBC3AA5">
        <w:rPr>
          <w:rStyle w:val="apple-converted-space"/>
        </w:rPr>
        <w:t>We tested each subgroup separately, examining only main effects (subject continuation, goal continuation, and different gender), since the interactions were not significant in the full models. Unlike in Experiment 1, we found that the goal bias emerged for both subgroups.  For prono</w:t>
      </w:r>
      <w:r w:rsidRPr="00F14C0C">
        <w:rPr>
          <w:rStyle w:val="apple-converted-space"/>
        </w:rPr>
        <w:t>un users, the thematic role effect only show</w:t>
      </w:r>
      <w:r w:rsidR="00BE0C1D">
        <w:rPr>
          <w:rStyle w:val="apple-converted-space"/>
        </w:rPr>
        <w:t>ed</w:t>
      </w:r>
      <w:r w:rsidRPr="00F14C0C">
        <w:rPr>
          <w:rStyle w:val="apple-converted-space"/>
        </w:rPr>
        <w:t xml:space="preserve"> up for the use of pronouns, such that this group use</w:t>
      </w:r>
      <w:r w:rsidR="00C03FD1">
        <w:rPr>
          <w:rStyle w:val="apple-converted-space"/>
        </w:rPr>
        <w:t>d</w:t>
      </w:r>
      <w:r w:rsidRPr="00F14C0C">
        <w:rPr>
          <w:rStyle w:val="apple-converted-space"/>
        </w:rPr>
        <w:t xml:space="preserve"> significantly</w:t>
      </w:r>
      <w:r w:rsidR="006A2B0A">
        <w:rPr>
          <w:rStyle w:val="apple-converted-space"/>
        </w:rPr>
        <w:t xml:space="preserve"> </w:t>
      </w:r>
      <w:r w:rsidR="006A2B0A" w:rsidRPr="00F14C0C">
        <w:rPr>
          <w:rStyle w:val="apple-converted-space"/>
        </w:rPr>
        <w:t>more</w:t>
      </w:r>
      <w:r w:rsidRPr="00F14C0C">
        <w:rPr>
          <w:rStyle w:val="apple-converted-space"/>
        </w:rPr>
        <w:t xml:space="preserve"> pronouns for goals (37%) than sources (24%), and marginally fewer</w:t>
      </w:r>
      <w:r w:rsidRPr="2EBC3AA5">
        <w:rPr>
          <w:rStyle w:val="apple-converted-space"/>
        </w:rPr>
        <w:t xml:space="preserve"> pronouns for subjects than nonsubject</w:t>
      </w:r>
      <w:r w:rsidR="004B2694">
        <w:rPr>
          <w:rStyle w:val="apple-converted-space"/>
        </w:rPr>
        <w:t>s</w:t>
      </w:r>
      <w:r w:rsidRPr="2EBC3AA5">
        <w:rPr>
          <w:rStyle w:val="apple-converted-space"/>
        </w:rPr>
        <w:t xml:space="preserve">. By contrast, their null pronoun and name/description production </w:t>
      </w:r>
      <w:r w:rsidR="00EB352A">
        <w:rPr>
          <w:rStyle w:val="apple-converted-space"/>
        </w:rPr>
        <w:t>was</w:t>
      </w:r>
      <w:r w:rsidRPr="2EBC3AA5">
        <w:rPr>
          <w:rStyle w:val="apple-converted-space"/>
        </w:rPr>
        <w:t xml:space="preserve"> only driven by a preference to use more null pronouns and fewer names for subjects vs. nonsubjects.  For the no-pronoun users, we </w:t>
      </w:r>
      <w:r w:rsidR="00387BA9">
        <w:rPr>
          <w:rStyle w:val="apple-converted-space"/>
        </w:rPr>
        <w:t>found</w:t>
      </w:r>
      <w:r w:rsidRPr="2EBC3AA5">
        <w:rPr>
          <w:rStyle w:val="apple-converted-space"/>
        </w:rPr>
        <w:t xml:space="preserve"> </w:t>
      </w:r>
      <w:r w:rsidRPr="00F14C0C">
        <w:rPr>
          <w:rStyle w:val="apple-converted-space"/>
        </w:rPr>
        <w:t>both main effects of subjecthood and thematic role, such that they use</w:t>
      </w:r>
      <w:r w:rsidR="00D97D8D">
        <w:rPr>
          <w:rStyle w:val="apple-converted-space"/>
        </w:rPr>
        <w:t>d</w:t>
      </w:r>
      <w:r w:rsidRPr="00F14C0C">
        <w:rPr>
          <w:rStyle w:val="apple-converted-space"/>
        </w:rPr>
        <w:t xml:space="preserve"> null pronouns more for goals (</w:t>
      </w:r>
      <w:r w:rsidR="00C1685D">
        <w:rPr>
          <w:rStyle w:val="apple-converted-space"/>
        </w:rPr>
        <w:t>40</w:t>
      </w:r>
      <w:r w:rsidRPr="00F14C0C">
        <w:rPr>
          <w:rStyle w:val="apple-converted-space"/>
        </w:rPr>
        <w:t xml:space="preserve">%) vs. sources (24%), </w:t>
      </w:r>
      <w:r w:rsidRPr="005906AC">
        <w:rPr>
          <w:rStyle w:val="apple-converted-space"/>
        </w:rPr>
        <w:t xml:space="preserve">and more for subjects (61%) than nonsubjects (3%). </w:t>
      </w:r>
      <w:r w:rsidRPr="00F14C0C">
        <w:rPr>
          <w:lang w:eastAsia="en-US"/>
        </w:rPr>
        <w:t>Just like in Experiment 1, the pronoun-users had a higher overall rate of using reduced forms (30% nulls; 31% overt pronouns) than the no-pronoun group (32% nulls).</w:t>
      </w:r>
    </w:p>
    <w:p w14:paraId="1E9918A8" w14:textId="5D2EDD58" w:rsidR="008615B4" w:rsidRPr="0044315C" w:rsidRDefault="008615B4" w:rsidP="00200B6F">
      <w:pPr>
        <w:pStyle w:val="Heading3"/>
        <w:rPr>
          <w:lang w:eastAsia="en-US"/>
        </w:rPr>
      </w:pPr>
      <w:r w:rsidRPr="2EBC3AA5">
        <w:rPr>
          <w:lang w:eastAsia="en-US"/>
        </w:rPr>
        <w:lastRenderedPageBreak/>
        <w:t>Latency</w:t>
      </w:r>
    </w:p>
    <w:p w14:paraId="72539E46" w14:textId="7CF8BDEC" w:rsidR="008615B4" w:rsidRDefault="008615B4" w:rsidP="008615B4">
      <w:pPr>
        <w:pStyle w:val="body"/>
        <w:rPr>
          <w:lang w:eastAsia="en-US"/>
        </w:rPr>
      </w:pPr>
      <w:r w:rsidRPr="2EBC3AA5">
        <w:rPr>
          <w:lang w:eastAsia="en-US"/>
        </w:rPr>
        <w:t>Our second question was whether reference form choice was related to the amount of time that participants spent preparing their response. To test this, we measured the time that elapsed between the moment when the participant finished speaking the first se</w:t>
      </w:r>
      <w:r w:rsidR="006A7FEE">
        <w:rPr>
          <w:lang w:eastAsia="en-US"/>
        </w:rPr>
        <w:t>ntence</w:t>
      </w:r>
      <w:r w:rsidRPr="2EBC3AA5">
        <w:rPr>
          <w:lang w:eastAsia="en-US"/>
        </w:rPr>
        <w:t xml:space="preserve"> and beginning of the first word in the second sentence.  On 14 trials, the participant clicked ahead to the stimulus trial while still speaking; on these trials we used the end of the previous trial response as the start of the latency measurement</w:t>
      </w:r>
      <w:r w:rsidRPr="00BF7E93">
        <w:rPr>
          <w:lang w:eastAsia="en-US"/>
        </w:rPr>
        <w:t xml:space="preserve">.  </w:t>
      </w:r>
      <w:r w:rsidR="004115AC" w:rsidRPr="00BF7E93">
        <w:rPr>
          <w:lang w:eastAsia="en-US"/>
        </w:rPr>
        <w:t>On 38 trials (out of 481</w:t>
      </w:r>
      <w:r w:rsidRPr="00BF7E93">
        <w:rPr>
          <w:lang w:eastAsia="en-US"/>
        </w:rPr>
        <w:t>),</w:t>
      </w:r>
      <w:r w:rsidR="008A69AB">
        <w:rPr>
          <w:lang w:eastAsia="en-US"/>
        </w:rPr>
        <w:t xml:space="preserve"> the participant produced</w:t>
      </w:r>
      <w:r w:rsidRPr="00BF7E93">
        <w:rPr>
          <w:lang w:eastAsia="en-US"/>
        </w:rPr>
        <w:t xml:space="preserve"> connector words like “y” </w:t>
      </w:r>
      <w:r w:rsidR="00575994">
        <w:rPr>
          <w:lang w:eastAsia="en-US"/>
        </w:rPr>
        <w:t>(</w:t>
      </w:r>
      <w:r w:rsidR="00575994">
        <w:rPr>
          <w:i/>
          <w:lang w:eastAsia="en-US"/>
        </w:rPr>
        <w:t xml:space="preserve">and), </w:t>
      </w:r>
      <w:r w:rsidRPr="00BF7E93">
        <w:rPr>
          <w:lang w:eastAsia="en-US"/>
        </w:rPr>
        <w:t>and then</w:t>
      </w:r>
      <w:r w:rsidRPr="2EBC3AA5">
        <w:rPr>
          <w:lang w:eastAsia="en-US"/>
        </w:rPr>
        <w:t xml:space="preserve"> pause</w:t>
      </w:r>
      <w:r w:rsidR="008A69AB">
        <w:rPr>
          <w:lang w:eastAsia="en-US"/>
        </w:rPr>
        <w:t>d</w:t>
      </w:r>
      <w:r w:rsidRPr="2EBC3AA5">
        <w:rPr>
          <w:lang w:eastAsia="en-US"/>
        </w:rPr>
        <w:t xml:space="preserve"> before continuing the main response. In those cases, we included the pause in the total </w:t>
      </w:r>
      <w:r w:rsidRPr="00BF7E93">
        <w:rPr>
          <w:lang w:eastAsia="en-US"/>
        </w:rPr>
        <w:t>latency.  We excluded latencies that were over 2.5 standard deviations above the mean (n = 15).</w:t>
      </w:r>
    </w:p>
    <w:p w14:paraId="0CEBDAF2" w14:textId="3C124CCD" w:rsidR="008615B4" w:rsidRDefault="008615B4" w:rsidP="008615B4">
      <w:pPr>
        <w:pStyle w:val="body"/>
      </w:pPr>
      <w:r>
        <w:t>The first question we asked was whether the goal or source responses were easier to plan, as measured by latency.  To assess this, we used log latency as our dependent measure, and modeled the same centered predictors as used for the reference form models</w:t>
      </w:r>
      <w:r w:rsidR="00342112">
        <w:rPr>
          <w:rStyle w:val="EndnoteReference"/>
        </w:rPr>
        <w:endnoteReference w:id="4"/>
      </w:r>
      <w:r>
        <w:t>. In addition, we included the duration of the detective sentence as a predictor.</w:t>
      </w:r>
      <w:r w:rsidR="00E5481E">
        <w:rPr>
          <w:rStyle w:val="EndnoteReference"/>
        </w:rPr>
        <w:endnoteReference w:id="5"/>
      </w:r>
      <w:r w:rsidR="00E5481E">
        <w:t xml:space="preserve"> </w:t>
      </w:r>
      <w:r>
        <w:t xml:space="preserve">Participants read the detective sentence, which means that its duration varied from trial to trial. The amount of time spent reading could potentially have been used to pre-plan the response, thus leading to shorter latencies. In addition, the time spent reading the detective </w:t>
      </w:r>
      <w:r w:rsidRPr="007C7A54">
        <w:t>sentence varied across conditions (goal / subje</w:t>
      </w:r>
      <w:r w:rsidR="00107901" w:rsidRPr="007C7A54">
        <w:t>ct: 3875 ms; goal / object: 3228</w:t>
      </w:r>
      <w:r w:rsidR="008B6991" w:rsidRPr="007C7A54">
        <w:t xml:space="preserve"> ms; source/ subject: 3125 ms; source/object: 3468</w:t>
      </w:r>
      <w:r w:rsidRPr="007C7A54">
        <w:t xml:space="preserve"> ms).</w:t>
      </w:r>
      <w:r>
        <w:t xml:space="preserve"> </w:t>
      </w:r>
    </w:p>
    <w:p w14:paraId="4F3B1E99" w14:textId="67BBC9BC" w:rsidR="008615B4" w:rsidRDefault="008615B4" w:rsidP="008615B4">
      <w:pPr>
        <w:pStyle w:val="body"/>
        <w:rPr>
          <w:lang w:eastAsia="en-US"/>
        </w:rPr>
      </w:pPr>
      <w:r w:rsidRPr="2EBC3AA5">
        <w:rPr>
          <w:lang w:eastAsia="en-US"/>
        </w:rPr>
        <w:t xml:space="preserve">As shown in Figure 7 (see also </w:t>
      </w:r>
      <w:r w:rsidR="00C7531A">
        <w:rPr>
          <w:lang w:eastAsia="en-US"/>
        </w:rPr>
        <w:t xml:space="preserve">the </w:t>
      </w:r>
      <w:r w:rsidRPr="2EBC3AA5">
        <w:rPr>
          <w:lang w:eastAsia="en-US"/>
        </w:rPr>
        <w:t>Appendix, Table 1</w:t>
      </w:r>
      <w:r w:rsidR="0009773D">
        <w:rPr>
          <w:lang w:eastAsia="en-US"/>
        </w:rPr>
        <w:t>2</w:t>
      </w:r>
      <w:r w:rsidRPr="2EBC3AA5">
        <w:rPr>
          <w:lang w:eastAsia="en-US"/>
        </w:rPr>
        <w:t xml:space="preserve">), the latency to respond was somewhat shorter for goal than source responses for the prepositional object continuations, but not for the subject continuations. This resulted in a marginal interaction between subject and goal </w:t>
      </w:r>
      <w:r w:rsidR="0035444B">
        <w:rPr>
          <w:lang w:eastAsia="en-US"/>
        </w:rPr>
        <w:t>continuation (</w:t>
      </w:r>
      <w:r w:rsidR="0035444B">
        <w:rPr>
          <w:lang w:eastAsia="en-US"/>
        </w:rPr>
        <w:sym w:font="Symbol" w:char="F062"/>
      </w:r>
      <w:r w:rsidR="00672E28">
        <w:rPr>
          <w:lang w:eastAsia="en-US"/>
        </w:rPr>
        <w:t xml:space="preserve"> = 0.14 (.08</w:t>
      </w:r>
      <w:r w:rsidRPr="00BF7E93">
        <w:rPr>
          <w:lang w:eastAsia="en-US"/>
        </w:rPr>
        <w:t>), t =</w:t>
      </w:r>
      <w:r w:rsidR="00672E28">
        <w:rPr>
          <w:lang w:eastAsia="en-US"/>
        </w:rPr>
        <w:t xml:space="preserve"> 1.9, p = .06</w:t>
      </w:r>
      <w:r w:rsidRPr="00BF7E93">
        <w:rPr>
          <w:lang w:eastAsia="en-US"/>
        </w:rPr>
        <w:t>); contrasts revealed a significant goal effect for nonsubjects</w:t>
      </w:r>
      <w:r w:rsidR="007C7A54">
        <w:rPr>
          <w:lang w:eastAsia="en-US"/>
        </w:rPr>
        <w:t xml:space="preserve"> </w:t>
      </w:r>
      <w:r w:rsidRPr="00BF7E93">
        <w:rPr>
          <w:lang w:eastAsia="en-US"/>
        </w:rPr>
        <w:t>(t = -2.29, p = .023) but not subjects (t = 0.02, p = .98).  No other effects or interactions were significant.</w:t>
      </w:r>
    </w:p>
    <w:p w14:paraId="2A11C5A0" w14:textId="53EB7DDA" w:rsidR="008615B4" w:rsidRDefault="00A75A9B" w:rsidP="00B17F95">
      <w:pPr>
        <w:pStyle w:val="examples"/>
        <w:keepNext/>
      </w:pPr>
      <w:r>
        <w:rPr>
          <w:lang w:val="it-IT" w:eastAsia="it-IT" w:bidi="bn-BD"/>
        </w:rPr>
        <w:lastRenderedPageBreak/>
        <w:drawing>
          <wp:inline distT="0" distB="0" distL="0" distR="0" wp14:anchorId="0C47F707" wp14:editId="0BC3B9D3">
            <wp:extent cx="3664777" cy="2021017"/>
            <wp:effectExtent l="0" t="0" r="12065" b="17780"/>
            <wp:docPr id="7" name="Chart 7">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6D75023" w14:textId="77777777" w:rsidR="008615B4" w:rsidRDefault="008615B4" w:rsidP="00B17F95">
      <w:pPr>
        <w:pStyle w:val="examples"/>
        <w:keepNext/>
        <w:rPr>
          <w:lang w:eastAsia="en-US"/>
        </w:rPr>
      </w:pPr>
      <w:r w:rsidRPr="00A75A9B">
        <w:rPr>
          <w:lang w:eastAsia="en-US"/>
        </w:rPr>
        <w:t>Figure 7.</w:t>
      </w:r>
      <w:r>
        <w:rPr>
          <w:lang w:eastAsia="en-US"/>
        </w:rPr>
        <w:t xml:space="preserve"> Average latency to respond in the four critical conditions. This graph shows latency in ms for readability; models used log latency. </w:t>
      </w:r>
    </w:p>
    <w:p w14:paraId="214F3035" w14:textId="393945D4" w:rsidR="008615B4" w:rsidRPr="00A75A9B" w:rsidRDefault="008615B4" w:rsidP="00A75A9B">
      <w:pPr>
        <w:pStyle w:val="body"/>
        <w:rPr>
          <w:lang w:eastAsia="en-US"/>
        </w:rPr>
      </w:pPr>
      <w:r w:rsidRPr="2EBC3AA5">
        <w:rPr>
          <w:lang w:eastAsia="en-US"/>
        </w:rPr>
        <w:t xml:space="preserve">The second question we asked was whether latency predicted reference form, when added to the models. That is, are speakers more likely to produce null pronouns when sentence planning is easy? However, there was no such effect. We added latency to the reference form models, first eliminating any effects or interactions that were not significant or marginal in the original reference form model (but keeping detective latency as a control).  As shown in </w:t>
      </w:r>
      <w:r w:rsidR="00C7531A">
        <w:rPr>
          <w:lang w:eastAsia="en-US"/>
        </w:rPr>
        <w:t xml:space="preserve">the </w:t>
      </w:r>
      <w:r w:rsidRPr="2EBC3AA5">
        <w:rPr>
          <w:lang w:eastAsia="en-US"/>
        </w:rPr>
        <w:t>Appendix, tables 1</w:t>
      </w:r>
      <w:r w:rsidR="00D94195">
        <w:rPr>
          <w:lang w:eastAsia="en-US"/>
        </w:rPr>
        <w:t>3</w:t>
      </w:r>
      <w:r w:rsidRPr="2EBC3AA5">
        <w:rPr>
          <w:lang w:eastAsia="en-US"/>
        </w:rPr>
        <w:t>-1</w:t>
      </w:r>
      <w:r w:rsidR="00D94195">
        <w:rPr>
          <w:lang w:eastAsia="en-US"/>
        </w:rPr>
        <w:t>5</w:t>
      </w:r>
      <w:r w:rsidRPr="2EBC3AA5">
        <w:rPr>
          <w:lang w:eastAsia="en-US"/>
        </w:rPr>
        <w:t xml:space="preserve">, there were no effects of either latency or </w:t>
      </w:r>
      <w:r w:rsidR="009E3FB3">
        <w:rPr>
          <w:lang w:eastAsia="en-US"/>
        </w:rPr>
        <w:t xml:space="preserve">the duration of the </w:t>
      </w:r>
      <w:r w:rsidRPr="2EBC3AA5">
        <w:rPr>
          <w:lang w:eastAsia="en-US"/>
        </w:rPr>
        <w:t xml:space="preserve">detective </w:t>
      </w:r>
      <w:r w:rsidR="009E3FB3">
        <w:rPr>
          <w:lang w:eastAsia="en-US"/>
        </w:rPr>
        <w:t>sentence</w:t>
      </w:r>
      <w:r w:rsidRPr="2EBC3AA5">
        <w:rPr>
          <w:lang w:eastAsia="en-US"/>
        </w:rPr>
        <w:t>.</w:t>
      </w:r>
    </w:p>
    <w:p w14:paraId="75F9140D" w14:textId="73F37831" w:rsidR="008615B4" w:rsidRDefault="008615B4" w:rsidP="00340F6E">
      <w:pPr>
        <w:pStyle w:val="Heading1"/>
      </w:pPr>
      <w:r>
        <w:t>Discussion</w:t>
      </w:r>
    </w:p>
    <w:p w14:paraId="6F833CC4" w14:textId="6A3A74D0" w:rsidR="008615B4" w:rsidRDefault="008615B4" w:rsidP="008615B4">
      <w:pPr>
        <w:pStyle w:val="body"/>
      </w:pPr>
      <w:r>
        <w:t xml:space="preserve">Experiment 2 replicated the two main findings of Experiment 1. First, null pronouns </w:t>
      </w:r>
      <w:r w:rsidR="000E7007">
        <w:t>were</w:t>
      </w:r>
      <w:r>
        <w:t xml:space="preserve"> produced more often for subjects than nonsubjects, and names/descriptions </w:t>
      </w:r>
      <w:r w:rsidR="000E7007">
        <w:t>were</w:t>
      </w:r>
      <w:r>
        <w:t xml:space="preserve"> preferred for nonsubjects over </w:t>
      </w:r>
      <w:r w:rsidRPr="00E67F89">
        <w:t>subjects. Remarkably, the rate of null pronoun use was highly consistent across our written and spoken experiments (Exp. 1: 56% for subjects; 8% for nonsubjects; Exp. 2: 61% for subjects; 2% for nonsubjects).</w:t>
      </w:r>
      <w:r w:rsidR="00E67F89">
        <w:t xml:space="preserve"> </w:t>
      </w:r>
    </w:p>
    <w:p w14:paraId="78B1C95F" w14:textId="1F949EBA" w:rsidR="008615B4" w:rsidRDefault="008615B4" w:rsidP="00961089">
      <w:pPr>
        <w:pStyle w:val="body"/>
      </w:pPr>
      <w:r>
        <w:t xml:space="preserve">Second, and of critical importance, thematic roles modulated reference form production. </w:t>
      </w:r>
      <w:r w:rsidR="00595844">
        <w:t>Moreover</w:t>
      </w:r>
      <w:r>
        <w:t xml:space="preserve">, the effect of thematic roles was stronger in Experiment 2 than in Experiment 1. Like in Experiment 1, the strongest effect was on the use of overt pronouns, </w:t>
      </w:r>
      <w:r>
        <w:lastRenderedPageBreak/>
        <w:t>but it emerged as a main effect instead of an interaction. That is, overt pronouns were more common for goals than sources overall, for both subjects and nonsubjects. In addition, there was a preference to use names for sources more than</w:t>
      </w:r>
      <w:r w:rsidR="00FD7F10">
        <w:t xml:space="preserve"> for</w:t>
      </w:r>
      <w:r>
        <w:t xml:space="preserve"> goals. </w:t>
      </w:r>
      <w:r w:rsidR="00902CB6">
        <w:t xml:space="preserve">Finally, </w:t>
      </w:r>
      <w:r w:rsidR="00D0618C">
        <w:t>even the no-pronoun-user group had an effect of thematic role, which emerged for their production of null pronouns</w:t>
      </w:r>
      <w:r w:rsidR="00902CB6">
        <w:t>.</w:t>
      </w:r>
      <w:r>
        <w:t xml:space="preserve"> Thus, in this experiment the effect of thematic roles was not limited to just the production of overt pronouns. </w:t>
      </w:r>
    </w:p>
    <w:p w14:paraId="7841DA0F" w14:textId="18EEE688" w:rsidR="008615B4" w:rsidRPr="00642C1D" w:rsidRDefault="008615B4" w:rsidP="00642C1D">
      <w:pPr>
        <w:pStyle w:val="body"/>
      </w:pPr>
      <w:r>
        <w:t xml:space="preserve">Experiment 2, which was performed orally, also provided an opportunity to test whether thematic role effects are related to ease of planning, where latency is a metric of the time needed to plan a response. In an English version of this task, goal responses were faster to initiate than source responses (Rosa &amp; Arnold, 2017).  We found only partial support for this pattern in Spanish, in that the latency to respond was faster for goals than sources, but only in the nonsubject condition. In addition, </w:t>
      </w:r>
      <w:r w:rsidR="00034A04">
        <w:t xml:space="preserve">just as for English, </w:t>
      </w:r>
      <w:r>
        <w:t xml:space="preserve">we found that latency was unrelated to the choice of reference form.  Thus, the latency analysis </w:t>
      </w:r>
      <w:r w:rsidR="00E32419">
        <w:t>argues agains</w:t>
      </w:r>
      <w:r>
        <w:t>t the hypothesis that production planning explains the thematic role effect.</w:t>
      </w:r>
    </w:p>
    <w:p w14:paraId="115764B1" w14:textId="7339BD03" w:rsidR="008615B4" w:rsidRDefault="008615B4" w:rsidP="008B5AA5">
      <w:pPr>
        <w:pStyle w:val="Heading1"/>
      </w:pPr>
      <w:r>
        <w:t xml:space="preserve">General Discussion </w:t>
      </w:r>
    </w:p>
    <w:p w14:paraId="01F02C6E" w14:textId="16B2F0B4" w:rsidR="006362D3" w:rsidRDefault="008615B4" w:rsidP="006362D3">
      <w:pPr>
        <w:ind w:firstLine="720"/>
        <w:jc w:val="both"/>
        <w:rPr>
          <w:rFonts w:cstheme="minorBidi"/>
          <w:color w:val="000000" w:themeColor="text1"/>
        </w:rPr>
      </w:pPr>
      <w:r w:rsidRPr="2EBC3AA5">
        <w:rPr>
          <w:rFonts w:cstheme="minorBidi"/>
          <w:color w:val="000000" w:themeColor="text1"/>
        </w:rPr>
        <w:t>In two experiments</w:t>
      </w:r>
      <w:r w:rsidR="00BF60DD">
        <w:rPr>
          <w:rFonts w:cstheme="minorBidi"/>
          <w:color w:val="000000" w:themeColor="text1"/>
        </w:rPr>
        <w:t>,</w:t>
      </w:r>
      <w:r w:rsidRPr="2EBC3AA5">
        <w:rPr>
          <w:rFonts w:cstheme="minorBidi"/>
          <w:color w:val="000000" w:themeColor="text1"/>
        </w:rPr>
        <w:t xml:space="preserve"> we examined whether reference production in Spanish can be explained purely as a function of the antecedent’s position (subject vs. nonsubject), or whether thematic roles also matter. We found that in both experiments, thematic role modulated reference form choices, in addition to the expected tendency to use null pronouns for subjects.  In both experiments, speakers used more overt pronouns for goals than sources; in </w:t>
      </w:r>
      <w:r w:rsidR="006A2EDA">
        <w:rPr>
          <w:rFonts w:cstheme="minorBidi"/>
          <w:color w:val="000000" w:themeColor="text1"/>
        </w:rPr>
        <w:t>E</w:t>
      </w:r>
      <w:r w:rsidRPr="2EBC3AA5">
        <w:rPr>
          <w:rFonts w:cstheme="minorBidi"/>
          <w:color w:val="000000" w:themeColor="text1"/>
        </w:rPr>
        <w:t xml:space="preserve">xperiment 1 this emerged only for nonsubjects, but in </w:t>
      </w:r>
      <w:r w:rsidR="006A2EDA">
        <w:rPr>
          <w:rFonts w:cstheme="minorBidi"/>
          <w:color w:val="000000" w:themeColor="text1"/>
        </w:rPr>
        <w:t>E</w:t>
      </w:r>
      <w:r w:rsidRPr="2EBC3AA5">
        <w:rPr>
          <w:rFonts w:cstheme="minorBidi"/>
          <w:color w:val="000000" w:themeColor="text1"/>
        </w:rPr>
        <w:t>xperiment 2 it was a main effect.</w:t>
      </w:r>
      <w:r w:rsidR="006362D3">
        <w:rPr>
          <w:rFonts w:cstheme="minorBidi"/>
          <w:color w:val="000000" w:themeColor="text1"/>
        </w:rPr>
        <w:t xml:space="preserve"> </w:t>
      </w:r>
    </w:p>
    <w:p w14:paraId="53BEC663" w14:textId="757A3D77" w:rsidR="007D703E" w:rsidRPr="00AB7F12" w:rsidRDefault="006362D3" w:rsidP="00AB7F12">
      <w:pPr>
        <w:ind w:firstLine="720"/>
        <w:jc w:val="both"/>
        <w:rPr>
          <w:rFonts w:cstheme="minorBidi"/>
          <w:color w:val="000000" w:themeColor="text1"/>
        </w:rPr>
      </w:pPr>
      <w:r>
        <w:rPr>
          <w:rFonts w:cstheme="minorBidi"/>
          <w:color w:val="000000" w:themeColor="text1"/>
        </w:rPr>
        <w:t xml:space="preserve">Our findings are relevant to two theoretical questions. First, we asked whether reference production should be modelled on the basis of purely structural constraints. </w:t>
      </w:r>
      <w:r w:rsidR="00F4366F">
        <w:rPr>
          <w:rFonts w:cstheme="minorBidi"/>
          <w:color w:val="000000" w:themeColor="text1"/>
        </w:rPr>
        <w:t>This idea has emerged in models of reference production in English (</w:t>
      </w:r>
      <w:r w:rsidR="00AB7F12">
        <w:t>Fukumura &amp; van Gompel, 2010; Kehler &amp; Rohde, 2013; Rohde &amp; Kehler, 2014)</w:t>
      </w:r>
      <w:r w:rsidR="0009773D">
        <w:t xml:space="preserve">. The importance of structural constraints might be </w:t>
      </w:r>
      <w:r w:rsidR="0009773D">
        <w:lastRenderedPageBreak/>
        <w:t xml:space="preserve">inferred </w:t>
      </w:r>
      <w:r w:rsidR="00AB7F12">
        <w:t xml:space="preserve">from evidence that </w:t>
      </w:r>
      <w:r w:rsidR="0009773D">
        <w:t>they</w:t>
      </w:r>
      <w:r w:rsidR="00AB7F12">
        <w:t xml:space="preserve"> play a large role in the comprehension of null and overt pronouns in Romance Languages</w:t>
      </w:r>
      <w:r w:rsidR="00AB7F12">
        <w:rPr>
          <w:rFonts w:cstheme="minorBidi"/>
          <w:color w:val="000000" w:themeColor="text1"/>
        </w:rPr>
        <w:t xml:space="preserve"> </w:t>
      </w:r>
      <w:r w:rsidR="007D703E">
        <w:rPr>
          <w:rFonts w:cstheme="minorBidi"/>
          <w:color w:val="000000" w:themeColor="text1"/>
        </w:rPr>
        <w:t>(</w:t>
      </w:r>
      <w:r w:rsidR="00740299" w:rsidRPr="2EBC3AA5">
        <w:t>Alonso-Ovalle</w:t>
      </w:r>
      <w:r w:rsidR="00740299">
        <w:t xml:space="preserve"> et al.</w:t>
      </w:r>
      <w:r w:rsidR="00740299" w:rsidRPr="2EBC3AA5">
        <w:t>, 2002</w:t>
      </w:r>
      <w:r w:rsidR="00740299">
        <w:t xml:space="preserve">; </w:t>
      </w:r>
      <w:r w:rsidR="007D703E">
        <w:rPr>
          <w:rFonts w:cstheme="minorBidi"/>
          <w:color w:val="000000" w:themeColor="text1"/>
        </w:rPr>
        <w:t>Carminati, 2002</w:t>
      </w:r>
      <w:r w:rsidR="007E3506">
        <w:rPr>
          <w:rFonts w:cstheme="minorBidi"/>
          <w:color w:val="000000" w:themeColor="text1"/>
        </w:rPr>
        <w:t xml:space="preserve">; </w:t>
      </w:r>
      <w:r w:rsidR="00602169">
        <w:rPr>
          <w:rFonts w:cstheme="minorBidi"/>
          <w:color w:val="000000" w:themeColor="text1"/>
        </w:rPr>
        <w:t xml:space="preserve">de Carvalho Maia et al., 2017; </w:t>
      </w:r>
      <w:r w:rsidR="007E3506">
        <w:rPr>
          <w:rFonts w:cstheme="minorBidi"/>
          <w:color w:val="000000" w:themeColor="text1"/>
        </w:rPr>
        <w:t>Fil</w:t>
      </w:r>
      <w:r w:rsidR="00F55A91">
        <w:rPr>
          <w:rFonts w:cstheme="minorBidi"/>
          <w:color w:val="000000" w:themeColor="text1"/>
        </w:rPr>
        <w:t>i</w:t>
      </w:r>
      <w:r w:rsidR="007E3506">
        <w:rPr>
          <w:rFonts w:cstheme="minorBidi"/>
          <w:color w:val="000000" w:themeColor="text1"/>
        </w:rPr>
        <w:t>aci et al., 2013; Gelormini-Lezama et al., 2011, 2013; Gelormini-Lezama, 2018</w:t>
      </w:r>
      <w:r w:rsidR="007D703E">
        <w:rPr>
          <w:rFonts w:cstheme="minorBidi"/>
          <w:color w:val="000000" w:themeColor="text1"/>
        </w:rPr>
        <w:t>)</w:t>
      </w:r>
      <w:r w:rsidR="00AB7F12">
        <w:rPr>
          <w:rFonts w:cstheme="minorBidi"/>
          <w:color w:val="000000" w:themeColor="text1"/>
        </w:rPr>
        <w:t>. Consistent with these claims, we also saw that subjecthood was a strong predictor of reference form.</w:t>
      </w:r>
    </w:p>
    <w:p w14:paraId="0B6E44A8" w14:textId="47A2B0DB" w:rsidR="008615B4" w:rsidRDefault="007D703E" w:rsidP="007D703E">
      <w:pPr>
        <w:ind w:firstLine="720"/>
        <w:jc w:val="both"/>
      </w:pPr>
      <w:r>
        <w:t>Nevertheless, our findings also suggest that subjecthood alone does not provide a full explanation of reference production</w:t>
      </w:r>
      <w:r w:rsidR="008615B4">
        <w:t xml:space="preserve">. </w:t>
      </w:r>
      <w:r w:rsidR="00FE441C">
        <w:t>Critically, we found that goal and source roles influence reference form in Spanish, as they do in English. This</w:t>
      </w:r>
      <w:r w:rsidR="008615B4" w:rsidRPr="2EBC3AA5">
        <w:rPr>
          <w:rFonts w:cstheme="minorBidi"/>
          <w:color w:val="000000" w:themeColor="text1"/>
        </w:rPr>
        <w:t xml:space="preserve"> contrasts with claims that thematic role has no effect on pronoun production (Fukumura &amp; van </w:t>
      </w:r>
      <w:r w:rsidR="008615B4" w:rsidRPr="00D011E8">
        <w:rPr>
          <w:rFonts w:cstheme="minorBidi"/>
          <w:color w:val="000000" w:themeColor="text1"/>
        </w:rPr>
        <w:t xml:space="preserve">Gompel, 2010; </w:t>
      </w:r>
      <w:r w:rsidR="008615B4" w:rsidRPr="00D011E8">
        <w:t xml:space="preserve">Kehler et al., 2008; </w:t>
      </w:r>
      <w:r w:rsidR="00D011E8" w:rsidRPr="00D011E8">
        <w:t xml:space="preserve">Kehler &amp; Rohde, 2013; </w:t>
      </w:r>
      <w:r w:rsidR="008615B4" w:rsidRPr="00D011E8">
        <w:t>Rohde</w:t>
      </w:r>
      <w:r w:rsidR="008615B4">
        <w:t xml:space="preserve"> &amp; Kehler, 2014). Notably,</w:t>
      </w:r>
      <w:r w:rsidR="00FE441C">
        <w:t xml:space="preserve"> evidence against a role for thematic role mostly stems from work</w:t>
      </w:r>
      <w:r w:rsidR="008615B4">
        <w:t xml:space="preserve"> </w:t>
      </w:r>
      <w:r w:rsidR="00FE441C">
        <w:t>examining</w:t>
      </w:r>
      <w:r w:rsidR="008615B4">
        <w:t xml:space="preserve"> a different verb type, namely verbs with strong implicit causality biases, suggesting that there may be stronger thematic role effects with some verbs than others. On the other hand, studies with English consistently find that speakers use pronouns more for goals than sources (Ar</w:t>
      </w:r>
      <w:r w:rsidR="00302436">
        <w:t>nold, 2001; Rosa &amp; Arnold, 2017; Zerkle &amp; Arnold</w:t>
      </w:r>
      <w:r w:rsidR="009D61A7">
        <w:t xml:space="preserve"> (2018)</w:t>
      </w:r>
      <w:r w:rsidR="00302436">
        <w:t>; Ze</w:t>
      </w:r>
      <w:r w:rsidR="00302436" w:rsidRPr="00302436">
        <w:t>rkle, Rosa, &amp; Arnold, 2015</w:t>
      </w:r>
      <w:r w:rsidR="00302436">
        <w:t>)</w:t>
      </w:r>
      <w:r w:rsidR="00FE441C">
        <w:t>, and even that implicit causality can also guide pronoun production in English (Weatherford &amp; Arnold, 2021) and German (</w:t>
      </w:r>
      <w:r w:rsidR="00704A4A">
        <w:t>Bott &amp; Solstad, under review).</w:t>
      </w:r>
      <w:r w:rsidR="00302436">
        <w:t xml:space="preserve"> </w:t>
      </w:r>
      <w:r w:rsidR="008615B4">
        <w:t xml:space="preserve">Thus, the current findings provide converging evidence for the idea that </w:t>
      </w:r>
      <w:r w:rsidR="009D0DA1">
        <w:t xml:space="preserve">thematic </w:t>
      </w:r>
      <w:r w:rsidR="008615B4">
        <w:t xml:space="preserve">roles </w:t>
      </w:r>
      <w:r w:rsidR="009D0DA1">
        <w:t>can</w:t>
      </w:r>
      <w:r w:rsidR="008615B4">
        <w:t xml:space="preserve"> affect reference form. </w:t>
      </w:r>
    </w:p>
    <w:p w14:paraId="505416DE" w14:textId="4CA2212A" w:rsidR="00727881" w:rsidRDefault="00727881" w:rsidP="007D703E">
      <w:pPr>
        <w:ind w:firstLine="720"/>
        <w:jc w:val="both"/>
      </w:pPr>
      <w:r>
        <w:t xml:space="preserve">Our work also extends research on reference comprehension in Spanish, which has also focused on the influence of syntactic role on comprehension biases </w:t>
      </w:r>
      <w:r>
        <w:rPr>
          <w:rFonts w:cstheme="minorBidi"/>
          <w:color w:val="000000" w:themeColor="text1"/>
        </w:rPr>
        <w:t>(</w:t>
      </w:r>
      <w:r w:rsidRPr="2EBC3AA5">
        <w:t>Alonso-Ovalle</w:t>
      </w:r>
      <w:r>
        <w:t xml:space="preserve"> et al.</w:t>
      </w:r>
      <w:r w:rsidRPr="2EBC3AA5">
        <w:t>, 2002</w:t>
      </w:r>
      <w:r>
        <w:t>;</w:t>
      </w:r>
      <w:r>
        <w:rPr>
          <w:color w:val="000000" w:themeColor="text1"/>
        </w:rPr>
        <w:t xml:space="preserve"> </w:t>
      </w:r>
      <w:r>
        <w:rPr>
          <w:rFonts w:cstheme="minorBidi"/>
          <w:color w:val="000000" w:themeColor="text1"/>
        </w:rPr>
        <w:t xml:space="preserve">Carminati, 2002; </w:t>
      </w:r>
      <w:r w:rsidRPr="00C002AC">
        <w:rPr>
          <w:shd w:val="clear" w:color="auto" w:fill="FFFFFF"/>
          <w:lang w:val="en-US"/>
        </w:rPr>
        <w:t>de Carvalho Maia</w:t>
      </w:r>
      <w:r>
        <w:rPr>
          <w:shd w:val="clear" w:color="auto" w:fill="FFFFFF"/>
          <w:lang w:val="en-US"/>
        </w:rPr>
        <w:t xml:space="preserve"> et al.,</w:t>
      </w:r>
      <w:r w:rsidRPr="00C002AC">
        <w:rPr>
          <w:shd w:val="clear" w:color="auto" w:fill="FFFFFF"/>
          <w:lang w:val="en-US"/>
        </w:rPr>
        <w:t xml:space="preserve"> 2017</w:t>
      </w:r>
      <w:r>
        <w:rPr>
          <w:shd w:val="clear" w:color="auto" w:fill="FFFFFF"/>
          <w:lang w:val="en-US"/>
        </w:rPr>
        <w:t xml:space="preserve">; </w:t>
      </w:r>
      <w:r>
        <w:rPr>
          <w:bCs/>
        </w:rPr>
        <w:t>Gelormini-</w:t>
      </w:r>
      <w:r w:rsidRPr="00A00802">
        <w:rPr>
          <w:bCs/>
        </w:rPr>
        <w:t>Lezama &amp; Almor</w:t>
      </w:r>
      <w:r>
        <w:rPr>
          <w:bCs/>
        </w:rPr>
        <w:t>,</w:t>
      </w:r>
      <w:r w:rsidRPr="00A00802">
        <w:rPr>
          <w:bCs/>
        </w:rPr>
        <w:t xml:space="preserve"> 2011</w:t>
      </w:r>
      <w:r>
        <w:rPr>
          <w:bCs/>
        </w:rPr>
        <w:t>, 2014; Gelormini, 2018</w:t>
      </w:r>
      <w:r>
        <w:rPr>
          <w:rFonts w:cstheme="minorBidi"/>
          <w:color w:val="000000" w:themeColor="text1"/>
        </w:rPr>
        <w:t>)</w:t>
      </w:r>
      <w:r>
        <w:t xml:space="preserve">. Syntactic role is assumed to reflect the salience/accessibility of entities in the discourse context, where the more highly ranked subject is more accessible than lower-ranked objects or obliques (e.g., Brennan, Friedman, &amp; Pollard, 1987). Thus, this body of work </w:t>
      </w:r>
      <w:r>
        <w:rPr>
          <w:rFonts w:cstheme="minorBidi"/>
          <w:color w:val="000000" w:themeColor="text1"/>
        </w:rPr>
        <w:t>approach is consistent with</w:t>
      </w:r>
      <w:r w:rsidR="00652225">
        <w:rPr>
          <w:rFonts w:cstheme="minorBidi"/>
          <w:color w:val="000000" w:themeColor="text1"/>
        </w:rPr>
        <w:t xml:space="preserve"> both psycholinguistic evidence that pronouns are used more for </w:t>
      </w:r>
      <w:r w:rsidR="00652225">
        <w:rPr>
          <w:rFonts w:cstheme="minorBidi"/>
          <w:color w:val="000000" w:themeColor="text1"/>
        </w:rPr>
        <w:lastRenderedPageBreak/>
        <w:t>subjects than other entities (e.g., Arnold, 1998, 2001; Kehler et al., 2008; Rohde &amp; Kehler, 2014, Stevenson et al., 1994)</w:t>
      </w:r>
      <w:r>
        <w:rPr>
          <w:rFonts w:cstheme="minorBidi"/>
          <w:color w:val="000000" w:themeColor="text1"/>
        </w:rPr>
        <w:t xml:space="preserve"> </w:t>
      </w:r>
      <w:r w:rsidR="00652225">
        <w:rPr>
          <w:rFonts w:cstheme="minorBidi"/>
          <w:color w:val="000000" w:themeColor="text1"/>
        </w:rPr>
        <w:t xml:space="preserve">and with </w:t>
      </w:r>
      <w:r>
        <w:rPr>
          <w:rFonts w:cstheme="minorBidi"/>
          <w:color w:val="000000" w:themeColor="text1"/>
        </w:rPr>
        <w:t>theories</w:t>
      </w:r>
      <w:r w:rsidR="00652225">
        <w:rPr>
          <w:rFonts w:cstheme="minorBidi"/>
          <w:color w:val="000000" w:themeColor="text1"/>
        </w:rPr>
        <w:t xml:space="preserve"> that more broadly claim that</w:t>
      </w:r>
      <w:r>
        <w:rPr>
          <w:rFonts w:cstheme="minorBidi"/>
          <w:color w:val="000000" w:themeColor="text1"/>
        </w:rPr>
        <w:t xml:space="preserve"> reduced expressions are preferred for more salient or accessible referents (e.g., Ariel, 1990; Chafe, 1976; Gundel et al., 1993). Our work extends this comprehension work to production, and demonstrates that subjecthood is also a key factor in choosing referential expressions in Spanish. However, syntactic role is not the only relevant factor, and thematic role also affects the selection of overt pronouns.</w:t>
      </w:r>
    </w:p>
    <w:p w14:paraId="4EA84FBA" w14:textId="3A4357D6" w:rsidR="00727881" w:rsidRDefault="00727881" w:rsidP="008615B4">
      <w:pPr>
        <w:ind w:firstLine="720"/>
        <w:jc w:val="both"/>
        <w:rPr>
          <w:rFonts w:cstheme="minorBidi"/>
          <w:color w:val="000000" w:themeColor="text1"/>
        </w:rPr>
      </w:pPr>
      <w:r>
        <w:rPr>
          <w:rFonts w:cstheme="minorBidi"/>
          <w:color w:val="000000" w:themeColor="text1"/>
        </w:rPr>
        <w:t>The second question that we asked was whether the same factors guide reference production cross-linguistically. Comprehension research suggests that different constraints may apply to different forms, based on work in Finnish (Kaiser &amp; Trueswell, 2008) and Spanish/Italian (Fil</w:t>
      </w:r>
      <w:r w:rsidR="00F55A91">
        <w:rPr>
          <w:rFonts w:cstheme="minorBidi"/>
          <w:color w:val="000000" w:themeColor="text1"/>
        </w:rPr>
        <w:t>i</w:t>
      </w:r>
      <w:r>
        <w:rPr>
          <w:rFonts w:cstheme="minorBidi"/>
          <w:color w:val="000000" w:themeColor="text1"/>
        </w:rPr>
        <w:t>aci et al., 2013). Our work supports this idea.  On the one hand, we found that the goal/source distinction affects reference form in both Spanish and English. But critically, the effect is different. In English, goal status increases the likelihood that the speaker will use a pronoun, on top of other constraints like subjecthood (Rosa &amp; Arnold, 2017). This would be consistent with a salience model where both subjecthood and goal status increase the salience of the referent.</w:t>
      </w:r>
    </w:p>
    <w:p w14:paraId="696F4888" w14:textId="23C0AF6B" w:rsidR="008615B4" w:rsidRDefault="00727881" w:rsidP="00C56F2E">
      <w:pPr>
        <w:ind w:firstLine="720"/>
        <w:jc w:val="both"/>
        <w:rPr>
          <w:rFonts w:cstheme="minorBidi"/>
          <w:color w:val="000000" w:themeColor="text1"/>
        </w:rPr>
      </w:pPr>
      <w:r>
        <w:rPr>
          <w:rFonts w:cstheme="minorBidi"/>
          <w:color w:val="000000" w:themeColor="text1"/>
        </w:rPr>
        <w:t xml:space="preserve">By contrast, in Spanish we found that the goal bias </w:t>
      </w:r>
      <w:r w:rsidR="00233742">
        <w:rPr>
          <w:rFonts w:cstheme="minorBidi"/>
          <w:color w:val="000000" w:themeColor="text1"/>
        </w:rPr>
        <w:t>primarily</w:t>
      </w:r>
      <w:r>
        <w:rPr>
          <w:rFonts w:cstheme="minorBidi"/>
          <w:color w:val="000000" w:themeColor="text1"/>
        </w:rPr>
        <w:t xml:space="preserve"> affected overt pronoun</w:t>
      </w:r>
      <w:r w:rsidR="00233742">
        <w:rPr>
          <w:rFonts w:cstheme="minorBidi"/>
          <w:color w:val="000000" w:themeColor="text1"/>
        </w:rPr>
        <w:t xml:space="preserve"> production</w:t>
      </w:r>
      <w:r>
        <w:rPr>
          <w:rFonts w:cstheme="minorBidi"/>
          <w:color w:val="000000" w:themeColor="text1"/>
        </w:rPr>
        <w:t xml:space="preserve">. This is surprising, because overt pronouns are otherwise used for the </w:t>
      </w:r>
      <w:r w:rsidRPr="00F2547B">
        <w:rPr>
          <w:rFonts w:cstheme="minorBidi"/>
          <w:b/>
          <w:color w:val="000000" w:themeColor="text1"/>
        </w:rPr>
        <w:t>less</w:t>
      </w:r>
      <w:r>
        <w:rPr>
          <w:rFonts w:cstheme="minorBidi"/>
          <w:color w:val="000000" w:themeColor="text1"/>
        </w:rPr>
        <w:t xml:space="preserve"> salient option (i.e., nonsubjects). </w:t>
      </w:r>
      <w:r w:rsidR="008615B4">
        <w:rPr>
          <w:rFonts w:cstheme="minorBidi"/>
          <w:color w:val="000000" w:themeColor="text1"/>
        </w:rPr>
        <w:t xml:space="preserve">This pattern of results suggests that thematic role and grammatical function play different roles in Spanish. </w:t>
      </w:r>
      <w:r w:rsidR="00AE69DC">
        <w:rPr>
          <w:rFonts w:cstheme="minorBidi"/>
          <w:color w:val="000000" w:themeColor="text1"/>
        </w:rPr>
        <w:t>As</w:t>
      </w:r>
      <w:r w:rsidR="008615B4">
        <w:rPr>
          <w:rFonts w:cstheme="minorBidi"/>
          <w:color w:val="000000" w:themeColor="text1"/>
        </w:rPr>
        <w:t xml:space="preserve"> </w:t>
      </w:r>
      <w:r w:rsidR="00802FE4">
        <w:rPr>
          <w:rFonts w:cstheme="minorBidi"/>
          <w:color w:val="000000" w:themeColor="text1"/>
        </w:rPr>
        <w:t xml:space="preserve">for </w:t>
      </w:r>
      <w:r w:rsidR="008615B4">
        <w:rPr>
          <w:rFonts w:cstheme="minorBidi"/>
          <w:color w:val="000000" w:themeColor="text1"/>
        </w:rPr>
        <w:t>Finnish pronouns (Kaiser &amp; Trueswell, 2008), the constraints for null and overt pronouns cannot be captured by a single factor like salience/accessibility</w:t>
      </w:r>
      <w:r w:rsidR="009C6BEE">
        <w:rPr>
          <w:rFonts w:cstheme="minorBidi"/>
          <w:color w:val="000000" w:themeColor="text1"/>
        </w:rPr>
        <w:t xml:space="preserve"> (see also </w:t>
      </w:r>
      <w:r w:rsidR="00C56F2E">
        <w:rPr>
          <w:rFonts w:cstheme="minorBidi"/>
          <w:color w:val="000000" w:themeColor="text1"/>
        </w:rPr>
        <w:t>Fil</w:t>
      </w:r>
      <w:r w:rsidR="00F55A91">
        <w:rPr>
          <w:rFonts w:cstheme="minorBidi"/>
          <w:color w:val="000000" w:themeColor="text1"/>
        </w:rPr>
        <w:t>i</w:t>
      </w:r>
      <w:r w:rsidR="00C56F2E">
        <w:rPr>
          <w:rFonts w:cstheme="minorBidi"/>
          <w:color w:val="000000" w:themeColor="text1"/>
        </w:rPr>
        <w:t xml:space="preserve">aci et al., 2013; </w:t>
      </w:r>
      <w:r w:rsidR="00CA5BE5">
        <w:rPr>
          <w:rFonts w:cstheme="minorBidi"/>
          <w:color w:val="000000" w:themeColor="text1"/>
        </w:rPr>
        <w:t>Fedele &amp;</w:t>
      </w:r>
      <w:r w:rsidR="00EF1E8D">
        <w:rPr>
          <w:rFonts w:cstheme="minorBidi"/>
          <w:color w:val="000000" w:themeColor="text1"/>
        </w:rPr>
        <w:t xml:space="preserve"> </w:t>
      </w:r>
      <w:r w:rsidR="00CA5BE5">
        <w:rPr>
          <w:rFonts w:cstheme="minorBidi"/>
          <w:color w:val="000000" w:themeColor="text1"/>
        </w:rPr>
        <w:t xml:space="preserve">Kaiser, 2015; </w:t>
      </w:r>
      <w:r w:rsidR="009C6BEE" w:rsidRPr="00B9070C">
        <w:rPr>
          <w:bCs/>
          <w:lang w:val="en-US"/>
        </w:rPr>
        <w:t xml:space="preserve">Torregrossa, </w:t>
      </w:r>
      <w:r w:rsidR="0029379E">
        <w:rPr>
          <w:lang w:val="en-US"/>
        </w:rPr>
        <w:t xml:space="preserve">Bongart, &amp; Tsimpli, </w:t>
      </w:r>
      <w:r w:rsidR="009C6BEE">
        <w:rPr>
          <w:lang w:val="en-US"/>
        </w:rPr>
        <w:t>2015)</w:t>
      </w:r>
      <w:r w:rsidR="008615B4">
        <w:rPr>
          <w:rFonts w:cstheme="minorBidi"/>
          <w:color w:val="000000" w:themeColor="text1"/>
        </w:rPr>
        <w:t xml:space="preserve">. </w:t>
      </w:r>
      <w:r w:rsidR="008F6157">
        <w:rPr>
          <w:rFonts w:cstheme="minorBidi"/>
          <w:color w:val="000000" w:themeColor="text1"/>
        </w:rPr>
        <w:t xml:space="preserve">Our data are </w:t>
      </w:r>
      <w:r w:rsidR="00707280">
        <w:rPr>
          <w:rFonts w:cstheme="minorBidi"/>
          <w:color w:val="000000" w:themeColor="text1"/>
        </w:rPr>
        <w:t xml:space="preserve">mostly </w:t>
      </w:r>
      <w:r w:rsidR="008F6157">
        <w:rPr>
          <w:rFonts w:cstheme="minorBidi"/>
          <w:color w:val="000000" w:themeColor="text1"/>
        </w:rPr>
        <w:t>consistent with claims that</w:t>
      </w:r>
      <w:r w:rsidR="008615B4">
        <w:rPr>
          <w:rFonts w:cstheme="minorBidi"/>
          <w:color w:val="000000" w:themeColor="text1"/>
        </w:rPr>
        <w:t xml:space="preserve"> </w:t>
      </w:r>
      <w:r w:rsidR="003B4339">
        <w:rPr>
          <w:rFonts w:cstheme="minorBidi"/>
          <w:color w:val="000000" w:themeColor="text1"/>
        </w:rPr>
        <w:t>subjecthood</w:t>
      </w:r>
      <w:r w:rsidR="008615B4">
        <w:rPr>
          <w:rFonts w:cstheme="minorBidi"/>
          <w:color w:val="000000" w:themeColor="text1"/>
        </w:rPr>
        <w:t xml:space="preserve"> drives the use of null pronouns, which are primarily used for reference to the character last mentioned in subject position. On the other hand, the prominence of goals increases the use of </w:t>
      </w:r>
      <w:r w:rsidR="005B4068">
        <w:rPr>
          <w:rFonts w:cstheme="minorBidi"/>
          <w:color w:val="000000" w:themeColor="text1"/>
        </w:rPr>
        <w:t xml:space="preserve">overt </w:t>
      </w:r>
      <w:r w:rsidR="005B4068">
        <w:rPr>
          <w:rFonts w:cstheme="minorBidi"/>
          <w:color w:val="000000" w:themeColor="text1"/>
        </w:rPr>
        <w:lastRenderedPageBreak/>
        <w:t>pronouns</w:t>
      </w:r>
      <w:r w:rsidR="000A436C">
        <w:rPr>
          <w:rFonts w:cstheme="minorBidi"/>
          <w:color w:val="000000" w:themeColor="text1"/>
        </w:rPr>
        <w:t>, and decreases the use of names</w:t>
      </w:r>
      <w:r w:rsidR="008615B4">
        <w:rPr>
          <w:rFonts w:cstheme="minorBidi"/>
          <w:color w:val="000000" w:themeColor="text1"/>
        </w:rPr>
        <w:t xml:space="preserve">. In Experiment 2 this effect was consistent across all conditions, but in Experiment 1 it </w:t>
      </w:r>
      <w:r w:rsidR="007C1C89">
        <w:rPr>
          <w:rFonts w:cstheme="minorBidi"/>
          <w:color w:val="000000" w:themeColor="text1"/>
        </w:rPr>
        <w:t>was only observed</w:t>
      </w:r>
      <w:r w:rsidR="008615B4">
        <w:rPr>
          <w:rFonts w:cstheme="minorBidi"/>
          <w:color w:val="000000" w:themeColor="text1"/>
        </w:rPr>
        <w:t xml:space="preserve"> for nonsubject references.</w:t>
      </w:r>
    </w:p>
    <w:p w14:paraId="6D3E7CA5" w14:textId="3EA1D770" w:rsidR="008615B4" w:rsidRDefault="008615B4" w:rsidP="008615B4">
      <w:pPr>
        <w:ind w:firstLine="720"/>
        <w:jc w:val="both"/>
      </w:pPr>
      <w:r>
        <w:rPr>
          <w:rFonts w:cstheme="minorBidi"/>
          <w:color w:val="000000" w:themeColor="text1"/>
        </w:rPr>
        <w:t xml:space="preserve">However, our results also broadly suggest a high degree of similarity between reference production in Spanish and English. Speakers choose forms in both languages on the basis of grammatical function and thematic role. </w:t>
      </w:r>
      <w:r w:rsidR="00B10E0D">
        <w:rPr>
          <w:rFonts w:cstheme="minorBidi"/>
          <w:color w:val="000000" w:themeColor="text1"/>
        </w:rPr>
        <w:t xml:space="preserve">The </w:t>
      </w:r>
      <w:r>
        <w:rPr>
          <w:rFonts w:cstheme="minorBidi"/>
          <w:color w:val="000000" w:themeColor="text1"/>
        </w:rPr>
        <w:t xml:space="preserve">difference </w:t>
      </w:r>
      <w:r w:rsidR="00B10E0D">
        <w:rPr>
          <w:rFonts w:cstheme="minorBidi"/>
          <w:color w:val="000000" w:themeColor="text1"/>
        </w:rPr>
        <w:t xml:space="preserve">between languages stems from the presence of </w:t>
      </w:r>
      <w:r>
        <w:rPr>
          <w:rFonts w:cstheme="minorBidi"/>
          <w:color w:val="000000" w:themeColor="text1"/>
        </w:rPr>
        <w:t xml:space="preserve">two different reduced </w:t>
      </w:r>
      <w:r w:rsidR="00B10E0D">
        <w:rPr>
          <w:rFonts w:cstheme="minorBidi"/>
          <w:color w:val="000000" w:themeColor="text1"/>
        </w:rPr>
        <w:t>options in Spanish</w:t>
      </w:r>
      <w:r>
        <w:rPr>
          <w:rFonts w:cstheme="minorBidi"/>
          <w:color w:val="000000" w:themeColor="text1"/>
        </w:rPr>
        <w:t xml:space="preserve"> (overt and null pronouns), </w:t>
      </w:r>
      <w:r w:rsidR="00A62662">
        <w:rPr>
          <w:rFonts w:cstheme="minorBidi"/>
          <w:color w:val="000000" w:themeColor="text1"/>
        </w:rPr>
        <w:t>but just one in</w:t>
      </w:r>
      <w:r>
        <w:rPr>
          <w:rFonts w:cstheme="minorBidi"/>
          <w:color w:val="000000" w:themeColor="text1"/>
        </w:rPr>
        <w:t xml:space="preserve"> English (overt pronouns)</w:t>
      </w:r>
      <w:r w:rsidR="00342112">
        <w:rPr>
          <w:rStyle w:val="EndnoteReference"/>
          <w:rFonts w:cstheme="minorBidi"/>
          <w:color w:val="000000" w:themeColor="text1"/>
        </w:rPr>
        <w:endnoteReference w:id="6"/>
      </w:r>
      <w:r>
        <w:rPr>
          <w:rFonts w:cstheme="minorBidi"/>
          <w:color w:val="000000" w:themeColor="text1"/>
        </w:rPr>
        <w:t xml:space="preserve">. </w:t>
      </w:r>
      <w:r>
        <w:t>Generally the Spanish null pronoun functions similarly to the English overt pronoun, and both are preferred for talking about subject referents.</w:t>
      </w:r>
      <w:r w:rsidRPr="001878C4">
        <w:t xml:space="preserve"> </w:t>
      </w:r>
      <w:r>
        <w:t xml:space="preserve">However, while the goal bias affects pronouns in English, it instead primarily affects overt pronouns in Spanish. </w:t>
      </w:r>
    </w:p>
    <w:p w14:paraId="04B61ED8" w14:textId="08608823" w:rsidR="002F0863" w:rsidRDefault="002F0863" w:rsidP="00320DFB">
      <w:pPr>
        <w:ind w:firstLine="720"/>
        <w:jc w:val="both"/>
      </w:pPr>
      <w:r>
        <w:t xml:space="preserve">Our results are also broadly consistent with findings from Russian. Kravtchenko (2014) found that the likelihood of omitting the subject in Russian was correlated with the contextual probability of the referent, controlling for discourse factors like previous mention in subject position.  Thematic role may contribute to contextual probability, in which case </w:t>
      </w:r>
      <w:r w:rsidR="00F77B8B">
        <w:t>Russian provides a</w:t>
      </w:r>
      <w:r w:rsidR="00F10240">
        <w:t>n example of predictability affecting null reference, not just overt pronouns.</w:t>
      </w:r>
    </w:p>
    <w:p w14:paraId="1140ADB8" w14:textId="2F75FC4E" w:rsidR="008615B4" w:rsidRDefault="008615B4" w:rsidP="008615B4">
      <w:pPr>
        <w:ind w:firstLine="720"/>
        <w:jc w:val="both"/>
        <w:rPr>
          <w:rFonts w:cstheme="minorBidi"/>
          <w:color w:val="000000" w:themeColor="text1"/>
        </w:rPr>
      </w:pPr>
      <w:r>
        <w:t>One might be concerned about the fact that our thematic role effect was not exactly the same across our two experiments. In Experiment 1, the difference between goal and source conditions was only significant for the nonsubject items, as indicated by contrasts in the model. In Experiment 2, the effect was more general. However, this difference should not be taken to indicate a difference in the underlying production mechanism. Reference production in experimental tasks exhibits extensive variation.  The use of explicit vs. reduced forms is sensitive to many factors that are not explicitly manipulated, such as whether the participants think that it is their job to tell a story, as opposed to simply describe the second picture in i</w:t>
      </w:r>
      <w:r w:rsidR="00302436">
        <w:t>solation.  Zerkle &amp; Arnold (2017</w:t>
      </w:r>
      <w:r w:rsidR="00BD6E41">
        <w:t>a</w:t>
      </w:r>
      <w:r>
        <w:t xml:space="preserve">) encountered extreme </w:t>
      </w:r>
      <w:r w:rsidR="00BD6E41">
        <w:t>variation</w:t>
      </w:r>
      <w:r>
        <w:t xml:space="preserve"> on this dimension. It was clear that some participants paid more attention to the context.  Those “context-users” were </w:t>
      </w:r>
      <w:r>
        <w:lastRenderedPageBreak/>
        <w:t>also more likely to produce connector words, and their eye movements suggested that they used a different timecourse of planning the utterance than those participants who never used any pronouns.  It is possible that the spoken task in Experiment 2 encouraged participants to use more reduced forms overall, or more referential form variation.  In Experiment 1, the rate of overt pronoun production was quite low (6% for subject references, 16% for nonsubject references), which limits our ability to detect systematic variation, especially in the subject-reference condition. By contrast, overt pronoun use was higher in Experiment 2 (13% for subject references, 25% for nonsubject references), and we observed the thematic role effect in both conditions.</w:t>
      </w:r>
    </w:p>
    <w:p w14:paraId="79553558" w14:textId="109D9C90" w:rsidR="008615B4" w:rsidRDefault="008615B4" w:rsidP="00E03760">
      <w:pPr>
        <w:jc w:val="both"/>
      </w:pPr>
      <w:r>
        <w:tab/>
        <w:t>Another potential concern about our findings i</w:t>
      </w:r>
      <w:r w:rsidR="000E5CA6">
        <w:t>s</w:t>
      </w:r>
      <w:r>
        <w:t xml:space="preserve"> that our participants came from a variety of geographical areas, and may have spoken different dialects of Spanish. </w:t>
      </w:r>
      <w:r w:rsidR="00BF0344">
        <w:t xml:space="preserve">Some participants never used overt pronouns. This variation was not aligned with country of origin, but it could potentially reflect </w:t>
      </w:r>
      <w:r w:rsidR="00F56D37">
        <w:t>variation in dialect zones</w:t>
      </w:r>
      <w:r w:rsidR="00BF0344">
        <w:t xml:space="preserve"> within each country. </w:t>
      </w:r>
      <w:r w:rsidR="00AF151D">
        <w:t>Indeed</w:t>
      </w:r>
      <w:r w:rsidR="00201197">
        <w:t>,</w:t>
      </w:r>
      <w:r w:rsidR="00AF151D">
        <w:t xml:space="preserve"> the rate of overt pronouns is known to vary by dialect (Lipski, 2002;</w:t>
      </w:r>
      <w:r w:rsidR="00EF7578">
        <w:rPr>
          <w:shd w:val="clear" w:color="auto" w:fill="FFFFFF"/>
        </w:rPr>
        <w:t xml:space="preserve"> Otheguy et al., 2007</w:t>
      </w:r>
      <w:r w:rsidR="00AF151D">
        <w:t xml:space="preserve">; </w:t>
      </w:r>
      <w:r w:rsidR="00AF151D">
        <w:rPr>
          <w:shd w:val="clear" w:color="auto" w:fill="FFFFFF"/>
        </w:rPr>
        <w:t>Pešková, 2013)</w:t>
      </w:r>
      <w:r w:rsidR="00AF151D">
        <w:t>.</w:t>
      </w:r>
      <w:r w:rsidR="007F1987">
        <w:t xml:space="preserve">  </w:t>
      </w:r>
      <w:r w:rsidR="00736D8E">
        <w:t xml:space="preserve">However, it is not clear that dialect variation can explain individual variation in our study either. </w:t>
      </w:r>
      <w:r w:rsidR="00E03760">
        <w:t>Participants who provided more form variation overall were those who used overt pro</w:t>
      </w:r>
      <w:r w:rsidR="00205B11">
        <w:t>no</w:t>
      </w:r>
      <w:r w:rsidR="00D919FF">
        <w:t xml:space="preserve">uns. </w:t>
      </w:r>
      <w:r w:rsidR="00E03760">
        <w:t>In addition, t</w:t>
      </w:r>
      <w:r>
        <w:t xml:space="preserve">he majority of participants in both experiments produced all three forms, suggesting </w:t>
      </w:r>
      <w:r w:rsidR="00420199">
        <w:t>extensive overlap in the referential system used for</w:t>
      </w:r>
      <w:r>
        <w:t xml:space="preserve"> all</w:t>
      </w:r>
      <w:r w:rsidR="00420199">
        <w:t xml:space="preserve"> our</w:t>
      </w:r>
      <w:r>
        <w:t xml:space="preserve"> </w:t>
      </w:r>
      <w:r w:rsidR="003074B9">
        <w:t>participants</w:t>
      </w:r>
      <w:r>
        <w:t xml:space="preserve">. </w:t>
      </w:r>
    </w:p>
    <w:p w14:paraId="685C1964" w14:textId="4163CC6C" w:rsidR="003F5C9B" w:rsidRDefault="008615B4" w:rsidP="003F5C9B">
      <w:pPr>
        <w:ind w:firstLine="720"/>
        <w:jc w:val="both"/>
      </w:pPr>
      <w:r>
        <w:t xml:space="preserve">The next question is why thematic roles matter. </w:t>
      </w:r>
      <w:r w:rsidR="003F5C9B">
        <w:t xml:space="preserve">Many scholars have pointed out that some thematic roles are more likely to be mentioned than others, and therefore those references are more predictable (e.g., Arnold, 2001; </w:t>
      </w:r>
      <w:r w:rsidR="00C56F2E">
        <w:t xml:space="preserve">Guan &amp; Arnold, 2021; </w:t>
      </w:r>
      <w:r w:rsidR="003F5C9B">
        <w:t xml:space="preserve">Kehler &amp; Rohde, 2013; Stevenson et al., 1994). This predictability consistently affects pronoun comprehension in both English (Kehler et al., 2008; Rohde &amp; Kehler, 2014; Stevenson et al., 1994), and in null-pronoun languages like Italian (Kaiser &amp; Fedele, 2015). But it is not clear why predictability should affect production. Speakers do not need to predict their own productions, because they </w:t>
      </w:r>
      <w:r w:rsidR="003F5C9B">
        <w:lastRenderedPageBreak/>
        <w:t>are in control of them. Instead, speakers plan what they will say. This suggests that instead, the goal bias may be explained by something that is associated with predictability.</w:t>
      </w:r>
    </w:p>
    <w:p w14:paraId="0ED54A1D" w14:textId="62F679FA" w:rsidR="008615B4" w:rsidRDefault="008615B4" w:rsidP="00894F26">
      <w:pPr>
        <w:ind w:firstLine="720"/>
        <w:jc w:val="both"/>
      </w:pPr>
      <w:r>
        <w:t xml:space="preserve">Here we asked whether the effect could be explained by planning effects. Perhaps goal continuations are easier to plan, and perhaps easier planning facilitates the selection of null and pronominal forms. To test this question, we examined latency. However, there was little evidence that goal </w:t>
      </w:r>
      <w:r w:rsidR="00F21B85">
        <w:t>continuations</w:t>
      </w:r>
      <w:r>
        <w:t xml:space="preserve"> were easier to plan: responses were faster for goals than sources, but only for nonsubjects.  More importantly, we found no evidence that latency predicted reference form (similar to results for English, Rosa &amp; Arnold, 2017</w:t>
      </w:r>
      <w:r w:rsidR="00676DF7">
        <w:t>; Zerkle &amp; Arnold 2019</w:t>
      </w:r>
      <w:r>
        <w:t>). In sum, planning does not offer a natural explanation for the thematic role effect.</w:t>
      </w:r>
    </w:p>
    <w:p w14:paraId="278903D1" w14:textId="01F46286" w:rsidR="008615B4" w:rsidRDefault="008615B4" w:rsidP="008615B4">
      <w:pPr>
        <w:ind w:firstLine="720"/>
        <w:jc w:val="both"/>
      </w:pPr>
      <w:r>
        <w:t>Instead, we speculate that thematic role</w:t>
      </w:r>
      <w:r w:rsidR="003F5C9B">
        <w:t xml:space="preserve">s </w:t>
      </w:r>
      <w:r>
        <w:t xml:space="preserve">contribute to the speaker’s representation of story events. When the goal character is continued, it provides a predictable continuation to the story. This may result in stronger connections between events in the speaker’s mental representation, and support the discourse constraints for using reduced forms (see Arnold &amp; Nozari, 2017, for a similar effect). However, it is unclear why predictability has a less consistent effect for stories using implicit causality verbs, e.g. </w:t>
      </w:r>
      <w:r>
        <w:rPr>
          <w:i/>
        </w:rPr>
        <w:t>The cook annoyed the butler because….</w:t>
      </w:r>
      <w:r>
        <w:t xml:space="preserve">. One </w:t>
      </w:r>
      <w:r w:rsidR="004115AC">
        <w:t>possibility</w:t>
      </w:r>
      <w:r>
        <w:t xml:space="preserve"> is that these verbs require a temporal reversal to discuss the event’s causes, which may decrease representations of event connection. Further work is needed to understand why thematic roles modulate reference form.</w:t>
      </w:r>
    </w:p>
    <w:p w14:paraId="4B7617DE" w14:textId="12F423E6" w:rsidR="00AD0FF1" w:rsidRDefault="008615B4" w:rsidP="00F123D2">
      <w:pPr>
        <w:ind w:firstLine="720"/>
        <w:jc w:val="both"/>
      </w:pPr>
      <w:r>
        <w:t xml:space="preserve">The contribution of the current paper is to provide a systematic experimental test of the conditions under which Spanish speakers use null pronouns, overt pronouns, and </w:t>
      </w:r>
      <w:r w:rsidR="00F901E9">
        <w:t xml:space="preserve">names. </w:t>
      </w:r>
      <w:r w:rsidR="00C657C2">
        <w:t>W</w:t>
      </w:r>
      <w:r>
        <w:t xml:space="preserve">hile many studies only compare null vs. overt pronouns (e.g., </w:t>
      </w:r>
      <w:r w:rsidRPr="00C75CF2">
        <w:rPr>
          <w:rFonts w:ascii="Times" w:hAnsi="Times"/>
        </w:rPr>
        <w:t xml:space="preserve">Filiaci, </w:t>
      </w:r>
      <w:r w:rsidR="00F55A91">
        <w:rPr>
          <w:rFonts w:ascii="Times" w:hAnsi="Times"/>
        </w:rPr>
        <w:t>et al.</w:t>
      </w:r>
      <w:r>
        <w:rPr>
          <w:rFonts w:ascii="Times" w:hAnsi="Times"/>
        </w:rPr>
        <w:t xml:space="preserve">, </w:t>
      </w:r>
      <w:r w:rsidRPr="00C75CF2">
        <w:rPr>
          <w:rFonts w:ascii="Times" w:hAnsi="Times"/>
        </w:rPr>
        <w:t>2013)</w:t>
      </w:r>
      <w:r w:rsidR="00C657C2">
        <w:rPr>
          <w:rFonts w:ascii="Times" w:hAnsi="Times"/>
        </w:rPr>
        <w:t xml:space="preserve">, </w:t>
      </w:r>
      <w:r w:rsidR="00C657C2">
        <w:t>our study examines reference production as a contrast between three levels of referential explic</w:t>
      </w:r>
      <w:r w:rsidR="00C10CC7">
        <w:t>i</w:t>
      </w:r>
      <w:r w:rsidR="00C657C2">
        <w:t>tness</w:t>
      </w:r>
      <w:r w:rsidR="00C657C2">
        <w:rPr>
          <w:rFonts w:ascii="Times" w:hAnsi="Times"/>
        </w:rPr>
        <w:t>.</w:t>
      </w:r>
      <w:r>
        <w:rPr>
          <w:rFonts w:ascii="Times" w:hAnsi="Times"/>
        </w:rPr>
        <w:t xml:space="preserve"> We demonstrate effects of both subjecthood and thematic role, in parallel with English. At the same time, we find that each effect applies to different reference forms in Spanish, suggesting that different constraints apply in each language. Most critically, our findings argue for a model </w:t>
      </w:r>
      <w:r>
        <w:rPr>
          <w:rFonts w:ascii="Times" w:hAnsi="Times"/>
        </w:rPr>
        <w:lastRenderedPageBreak/>
        <w:t xml:space="preserve">of reference production that includes more than just </w:t>
      </w:r>
      <w:r w:rsidR="003B4339">
        <w:rPr>
          <w:rFonts w:ascii="Times" w:hAnsi="Times"/>
        </w:rPr>
        <w:t>subjecthood</w:t>
      </w:r>
      <w:r>
        <w:rPr>
          <w:rFonts w:ascii="Times" w:hAnsi="Times"/>
        </w:rPr>
        <w:t xml:space="preserve"> as an explanation for why people use pronouns.</w:t>
      </w:r>
    </w:p>
    <w:p w14:paraId="3AABC9F6" w14:textId="77777777" w:rsidR="00F123D2" w:rsidRDefault="00F123D2" w:rsidP="00F123D2">
      <w:pPr>
        <w:ind w:firstLine="720"/>
        <w:jc w:val="both"/>
      </w:pPr>
    </w:p>
    <w:p w14:paraId="1DCD592C" w14:textId="77777777" w:rsidR="00EC4234" w:rsidRDefault="00EC4234" w:rsidP="00EC4234">
      <w:pPr>
        <w:pStyle w:val="Heading1"/>
      </w:pPr>
      <w:r>
        <w:t>Author note</w:t>
      </w:r>
    </w:p>
    <w:p w14:paraId="6B6FBFCD" w14:textId="04A0682E" w:rsidR="00F123D2" w:rsidRPr="00435017" w:rsidRDefault="00EC4234" w:rsidP="00435017">
      <w:pPr>
        <w:spacing w:line="240" w:lineRule="auto"/>
        <w:rPr>
          <w:lang w:val="en-US" w:eastAsia="en-US"/>
        </w:rPr>
      </w:pPr>
      <w:r>
        <w:t>This research was supported by NSF grant</w:t>
      </w:r>
      <w:r w:rsidR="00435017">
        <w:t xml:space="preserve"> </w:t>
      </w:r>
      <w:r w:rsidR="00435017" w:rsidRPr="00435017">
        <w:rPr>
          <w:lang w:val="en-US" w:eastAsia="en-US"/>
        </w:rPr>
        <w:t>1348549</w:t>
      </w:r>
      <w:r w:rsidR="00435017">
        <w:rPr>
          <w:lang w:val="en-US" w:eastAsia="en-US"/>
        </w:rPr>
        <w:t xml:space="preserve"> to J. Arnold.</w:t>
      </w:r>
    </w:p>
    <w:p w14:paraId="26679535" w14:textId="77777777" w:rsidR="00467667" w:rsidRDefault="00467667">
      <w:pPr>
        <w:spacing w:line="240" w:lineRule="auto"/>
      </w:pPr>
      <w:r>
        <w:br w:type="page"/>
      </w:r>
    </w:p>
    <w:p w14:paraId="0EFC3594" w14:textId="60292B1B" w:rsidR="00AD0FF1" w:rsidRPr="00467667" w:rsidRDefault="00AD0FF1" w:rsidP="00AD0FF1">
      <w:pPr>
        <w:ind w:left="720" w:hanging="720"/>
        <w:jc w:val="center"/>
        <w:rPr>
          <w:b/>
        </w:rPr>
      </w:pPr>
      <w:r w:rsidRPr="00467667">
        <w:rPr>
          <w:b/>
        </w:rPr>
        <w:lastRenderedPageBreak/>
        <w:t>References</w:t>
      </w:r>
    </w:p>
    <w:p w14:paraId="365D888D" w14:textId="77777777" w:rsidR="00C720F2" w:rsidRPr="00DD68C7" w:rsidRDefault="00C720F2" w:rsidP="00C720F2">
      <w:pPr>
        <w:ind w:left="720" w:hanging="720"/>
      </w:pPr>
      <w:r w:rsidRPr="00DD68C7">
        <w:t xml:space="preserve">Alonso-Ovalle, L., Fernández-Solera, S., Frazier, L.F., &amp; Clifton, C. Jr. (2002). Null and overt pronouns and the topic-focus articulation in Spanish. </w:t>
      </w:r>
      <w:r w:rsidRPr="00DD68C7">
        <w:rPr>
          <w:i/>
          <w:iCs/>
        </w:rPr>
        <w:t>Journal of Italian Linguistics</w:t>
      </w:r>
      <w:r w:rsidRPr="00DD68C7">
        <w:t xml:space="preserve">, </w:t>
      </w:r>
      <w:r w:rsidRPr="00DD68C7">
        <w:rPr>
          <w:i/>
          <w:iCs/>
        </w:rPr>
        <w:t>14</w:t>
      </w:r>
      <w:r w:rsidRPr="00DD68C7">
        <w:t>, 151-169.</w:t>
      </w:r>
    </w:p>
    <w:p w14:paraId="460C61F2" w14:textId="500138E7" w:rsidR="00304EE1" w:rsidRPr="00304EE1" w:rsidRDefault="00304EE1" w:rsidP="00304EE1">
      <w:pPr>
        <w:ind w:left="720" w:hanging="720"/>
        <w:rPr>
          <w:lang w:val="en-US"/>
        </w:rPr>
      </w:pPr>
      <w:r w:rsidRPr="00304EE1">
        <w:rPr>
          <w:lang w:val="en-US"/>
        </w:rPr>
        <w:t>Almor, A. (1999). Noun-phrase anaphora and focus: The informational</w:t>
      </w:r>
      <w:r>
        <w:rPr>
          <w:lang w:val="en-US"/>
        </w:rPr>
        <w:t xml:space="preserve"> </w:t>
      </w:r>
      <w:r w:rsidRPr="00304EE1">
        <w:rPr>
          <w:lang w:val="en-US"/>
        </w:rPr>
        <w:t>load hypothesis. Psychological Review, 106(4), 748 765. doi:10.1037/</w:t>
      </w:r>
    </w:p>
    <w:p w14:paraId="3D4C4AEF" w14:textId="64165B47" w:rsidR="00C720F2" w:rsidRPr="00DD68C7" w:rsidRDefault="00304EE1" w:rsidP="00304EE1">
      <w:pPr>
        <w:ind w:left="720" w:hanging="720"/>
      </w:pPr>
      <w:r w:rsidRPr="00304EE1">
        <w:rPr>
          <w:lang w:val="en-US"/>
        </w:rPr>
        <w:t>0033-295X.106.4.748</w:t>
      </w:r>
      <w:r w:rsidR="00C720F2" w:rsidRPr="00DD68C7">
        <w:t xml:space="preserve">Ariel, M. (1990). </w:t>
      </w:r>
      <w:r w:rsidR="00C720F2" w:rsidRPr="00DD68C7">
        <w:rPr>
          <w:i/>
          <w:iCs/>
        </w:rPr>
        <w:t>Accessing noun-phrase antecedents</w:t>
      </w:r>
      <w:r w:rsidR="00C720F2" w:rsidRPr="00DD68C7">
        <w:t>. London: Routledge.</w:t>
      </w:r>
    </w:p>
    <w:p w14:paraId="32E39821" w14:textId="77777777" w:rsidR="00C720F2" w:rsidRPr="00DD68C7" w:rsidRDefault="00C720F2" w:rsidP="00C720F2">
      <w:pPr>
        <w:ind w:left="720" w:hanging="720"/>
        <w:rPr>
          <w:shd w:val="clear" w:color="auto" w:fill="FFFFFF"/>
        </w:rPr>
      </w:pPr>
      <w:r w:rsidRPr="00DD68C7">
        <w:rPr>
          <w:spacing w:val="-3"/>
          <w:shd w:val="clear" w:color="auto" w:fill="FFFFFF"/>
        </w:rPr>
        <w:t xml:space="preserve">Ariel, M. (2001). </w:t>
      </w:r>
      <w:r w:rsidRPr="00DD68C7">
        <w:rPr>
          <w:shd w:val="clear" w:color="auto" w:fill="FFFFFF"/>
        </w:rPr>
        <w:t>Accessibility theory: An overview. In T. Sanders, J. Schliperoord &amp; W. Spooren (Eds.),</w:t>
      </w:r>
      <w:r w:rsidRPr="00DD68C7">
        <w:rPr>
          <w:rStyle w:val="apple-converted-space"/>
          <w:shd w:val="clear" w:color="auto" w:fill="FFFFFF"/>
        </w:rPr>
        <w:t> </w:t>
      </w:r>
      <w:r w:rsidRPr="00DD68C7">
        <w:rPr>
          <w:i/>
          <w:iCs/>
          <w:shd w:val="clear" w:color="auto" w:fill="FFFFFF"/>
        </w:rPr>
        <w:t xml:space="preserve">Text representation </w:t>
      </w:r>
      <w:r w:rsidRPr="00DD68C7">
        <w:rPr>
          <w:shd w:val="clear" w:color="auto" w:fill="FFFFFF"/>
        </w:rPr>
        <w:t xml:space="preserve">(pp. 29-87). </w:t>
      </w:r>
      <w:r w:rsidRPr="00DD68C7">
        <w:rPr>
          <w:bdr w:val="none" w:sz="0" w:space="0" w:color="auto" w:frame="1"/>
          <w:lang w:val="it-IT" w:eastAsia="it-IT" w:bidi="bn-BD"/>
        </w:rPr>
        <w:t>Amsterdam/Philadelphia</w:t>
      </w:r>
      <w:r w:rsidRPr="00DD68C7">
        <w:rPr>
          <w:shd w:val="clear" w:color="auto" w:fill="FFFFFF"/>
        </w:rPr>
        <w:t>: John Benjamins.</w:t>
      </w:r>
    </w:p>
    <w:p w14:paraId="604FF3A4" w14:textId="77777777" w:rsidR="00C720F2" w:rsidRPr="00DD68C7" w:rsidRDefault="00C720F2" w:rsidP="00C720F2">
      <w:pPr>
        <w:tabs>
          <w:tab w:val="left" w:pos="630"/>
        </w:tabs>
        <w:ind w:left="720" w:hanging="720"/>
        <w:rPr>
          <w:shd w:val="clear" w:color="auto" w:fill="FFFFFF"/>
        </w:rPr>
      </w:pPr>
      <w:r w:rsidRPr="00FF08FF">
        <w:rPr>
          <w:shd w:val="clear" w:color="auto" w:fill="FFFFFF"/>
        </w:rPr>
        <w:t xml:space="preserve">Arnold, J. E. (1998). </w:t>
      </w:r>
      <w:r w:rsidRPr="00FF08FF">
        <w:rPr>
          <w:i/>
          <w:iCs/>
          <w:shd w:val="clear" w:color="auto" w:fill="FFFFFF"/>
        </w:rPr>
        <w:t>Reference form and discourse patterns</w:t>
      </w:r>
      <w:r w:rsidRPr="00FF08FF">
        <w:rPr>
          <w:shd w:val="clear" w:color="auto" w:fill="FFFFFF"/>
        </w:rPr>
        <w:t xml:space="preserve"> (Unpublished doctoral dissertation). Stanford University, Stanford, CA.</w:t>
      </w:r>
    </w:p>
    <w:p w14:paraId="7642C99E" w14:textId="77777777" w:rsidR="00C720F2" w:rsidRPr="00DD68C7" w:rsidRDefault="00C720F2" w:rsidP="00C720F2">
      <w:pPr>
        <w:spacing w:after="70"/>
        <w:ind w:left="720" w:hanging="720"/>
      </w:pPr>
      <w:r w:rsidRPr="00DD68C7">
        <w:t>Arnold, J. E. (2001). The effect of thematic roles on pronoun use and frequency of reference continuation</w:t>
      </w:r>
      <w:r w:rsidRPr="00DD68C7">
        <w:rPr>
          <w:i/>
        </w:rPr>
        <w:t>. Discourse Processes, 31</w:t>
      </w:r>
      <w:r w:rsidRPr="00DD68C7">
        <w:t>, 137-162. doi:10.1207/S15326950DP3102_02</w:t>
      </w:r>
    </w:p>
    <w:p w14:paraId="7B3DB9F1" w14:textId="77777777" w:rsidR="00C720F2" w:rsidRPr="00DD68C7" w:rsidRDefault="00C720F2" w:rsidP="00C720F2">
      <w:pPr>
        <w:ind w:left="720" w:hanging="720"/>
        <w:rPr>
          <w:shd w:val="clear" w:color="auto" w:fill="FFFFFF"/>
        </w:rPr>
      </w:pPr>
      <w:r w:rsidRPr="00DD68C7">
        <w:rPr>
          <w:shd w:val="clear" w:color="auto" w:fill="FFFFFF"/>
        </w:rPr>
        <w:t xml:space="preserve">Arnold, J.E. (2010). How speakers refer: the role of accessibility. </w:t>
      </w:r>
      <w:r w:rsidRPr="00DD68C7">
        <w:rPr>
          <w:i/>
          <w:iCs/>
          <w:shd w:val="clear" w:color="auto" w:fill="FFFFFF"/>
        </w:rPr>
        <w:t xml:space="preserve">Language and Linguistic Compass, 4, </w:t>
      </w:r>
      <w:r w:rsidRPr="00DD68C7">
        <w:rPr>
          <w:shd w:val="clear" w:color="auto" w:fill="FFFFFF"/>
        </w:rPr>
        <w:t xml:space="preserve">187-203. </w:t>
      </w:r>
      <w:hyperlink r:id="rId20" w:history="1">
        <w:r w:rsidRPr="00DD68C7">
          <w:rPr>
            <w:rStyle w:val="Hyperlink"/>
            <w:color w:val="auto"/>
            <w:u w:val="none"/>
            <w:shd w:val="clear" w:color="auto" w:fill="FFFFFF"/>
          </w:rPr>
          <w:t>https://doi.org/10.1111/j.1749-818X.2010.00193.x</w:t>
        </w:r>
      </w:hyperlink>
    </w:p>
    <w:p w14:paraId="0A134306" w14:textId="77777777" w:rsidR="00C720F2" w:rsidRPr="00DD68C7" w:rsidRDefault="00C720F2" w:rsidP="00C720F2">
      <w:pPr>
        <w:ind w:left="720" w:hanging="720"/>
        <w:rPr>
          <w:shd w:val="clear" w:color="auto" w:fill="FFFFFF"/>
        </w:rPr>
      </w:pPr>
      <w:r w:rsidRPr="00DD68C7">
        <w:rPr>
          <w:shd w:val="clear" w:color="auto" w:fill="FFFFFF"/>
        </w:rPr>
        <w:t>Arnold, J. E. (2016). Explicit and emergent mechanisms of information status.</w:t>
      </w:r>
      <w:r w:rsidRPr="00DD68C7">
        <w:rPr>
          <w:rStyle w:val="apple-converted-space"/>
          <w:shd w:val="clear" w:color="auto" w:fill="FFFFFF"/>
        </w:rPr>
        <w:t> </w:t>
      </w:r>
      <w:r w:rsidRPr="00DD68C7">
        <w:rPr>
          <w:rStyle w:val="Emphasis"/>
          <w:bdr w:val="none" w:sz="0" w:space="0" w:color="auto" w:frame="1"/>
          <w:shd w:val="clear" w:color="auto" w:fill="FFFFFF"/>
        </w:rPr>
        <w:t>Topics in Cognitive Science</w:t>
      </w:r>
      <w:r w:rsidRPr="00DD68C7">
        <w:rPr>
          <w:shd w:val="clear" w:color="auto" w:fill="FFFFFF"/>
        </w:rPr>
        <w:t xml:space="preserve">, </w:t>
      </w:r>
      <w:r w:rsidRPr="00DD68C7">
        <w:rPr>
          <w:i/>
          <w:iCs/>
          <w:shd w:val="clear" w:color="auto" w:fill="FFFFFF"/>
        </w:rPr>
        <w:t>8</w:t>
      </w:r>
      <w:r w:rsidRPr="00DD68C7">
        <w:rPr>
          <w:shd w:val="clear" w:color="auto" w:fill="FFFFFF"/>
        </w:rPr>
        <w:t>, 722-736. doi: 10.1111/tops.12220</w:t>
      </w:r>
    </w:p>
    <w:p w14:paraId="1FFEE305" w14:textId="77777777" w:rsidR="00C720F2" w:rsidRPr="00DD68C7" w:rsidRDefault="00C720F2" w:rsidP="00C720F2">
      <w:pPr>
        <w:ind w:left="720" w:hanging="720"/>
      </w:pPr>
      <w:r w:rsidRPr="00DD68C7">
        <w:t xml:space="preserve">Arnold, J.E., &amp; Griffin, Z. (2007). The effect of additional characters on choice of referring expression: Everyone competes. </w:t>
      </w:r>
      <w:r w:rsidRPr="00DD68C7">
        <w:rPr>
          <w:i/>
          <w:iCs/>
        </w:rPr>
        <w:t>Journal of Memory and Language, 56</w:t>
      </w:r>
      <w:r w:rsidRPr="00DD68C7">
        <w:t xml:space="preserve">, 521-536. </w:t>
      </w:r>
      <w:r w:rsidRPr="00DD68C7">
        <w:rPr>
          <w:shd w:val="clear" w:color="auto" w:fill="FFFFFF"/>
        </w:rPr>
        <w:t xml:space="preserve">doi: </w:t>
      </w:r>
      <w:hyperlink r:id="rId21" w:tgtFrame="pmc_ext" w:history="1">
        <w:r w:rsidRPr="00DD68C7">
          <w:rPr>
            <w:rStyle w:val="Hyperlink"/>
            <w:color w:val="auto"/>
            <w:u w:val="none"/>
            <w:shd w:val="clear" w:color="auto" w:fill="FFFFFF"/>
          </w:rPr>
          <w:t>10.1016/j.jml.2006.09.007</w:t>
        </w:r>
      </w:hyperlink>
      <w:r w:rsidRPr="00DD68C7">
        <w:tab/>
      </w:r>
    </w:p>
    <w:p w14:paraId="1058063E" w14:textId="77777777" w:rsidR="00C720F2" w:rsidRPr="00DD68C7" w:rsidRDefault="00C720F2" w:rsidP="00C720F2">
      <w:pPr>
        <w:shd w:val="clear" w:color="auto" w:fill="FFFFFF" w:themeFill="background1"/>
        <w:ind w:left="720" w:hanging="720"/>
        <w:textAlignment w:val="baseline"/>
      </w:pPr>
      <w:r w:rsidRPr="00DD68C7">
        <w:t xml:space="preserve">Arnold, J.E., &amp; Nozari, N. (2017). The effects of utterance timing and stimulation of left prefrontal cortex on the production of referential expressions. </w:t>
      </w:r>
      <w:r w:rsidRPr="00DD68C7">
        <w:rPr>
          <w:i/>
          <w:iCs/>
        </w:rPr>
        <w:t>Cognition, 160</w:t>
      </w:r>
      <w:r w:rsidRPr="00DD68C7">
        <w:t xml:space="preserve">, 127-144. </w:t>
      </w:r>
      <w:hyperlink r:id="rId22" w:tgtFrame="_blank" w:tooltip="Persistent link using digital object identifier" w:history="1">
        <w:r w:rsidRPr="00DD68C7">
          <w:rPr>
            <w:rStyle w:val="Hyperlink"/>
            <w:color w:val="auto"/>
            <w:u w:val="none"/>
          </w:rPr>
          <w:t>https://doi.org/10.1016/j.cognition.2016.12.008</w:t>
        </w:r>
      </w:hyperlink>
    </w:p>
    <w:p w14:paraId="0CDEF0F8" w14:textId="77777777" w:rsidR="00704A4A" w:rsidRPr="00704A4A" w:rsidRDefault="00704A4A" w:rsidP="00704A4A">
      <w:pPr>
        <w:ind w:left="720" w:hanging="720"/>
        <w:rPr>
          <w:lang w:val="en-US"/>
        </w:rPr>
      </w:pPr>
      <w:r w:rsidRPr="00704A4A">
        <w:rPr>
          <w:lang w:val="en-US"/>
        </w:rPr>
        <w:lastRenderedPageBreak/>
        <w:t xml:space="preserve">Bott, O. &amp; Solstad, T. (under review). The Production of Referring Expressions is Influenced by the </w:t>
      </w:r>
      <w:r w:rsidRPr="00704A4A">
        <w:t>Likelihood of Next Mention. Ms., University of Bielefeld, Germany.</w:t>
      </w:r>
    </w:p>
    <w:p w14:paraId="1BF440AF" w14:textId="77777777" w:rsidR="00C720F2" w:rsidRPr="00DD68C7" w:rsidRDefault="00C720F2" w:rsidP="00C720F2">
      <w:pPr>
        <w:ind w:left="720" w:hanging="720"/>
      </w:pPr>
      <w:r w:rsidRPr="00DD68C7">
        <w:rPr>
          <w:lang w:val="en-US"/>
        </w:rPr>
        <w:t>Brown, R., &amp; Fish, D. (1983). The psychological causality implicit in language.</w:t>
      </w:r>
      <w:r w:rsidRPr="00DD68C7">
        <w:t xml:space="preserve"> </w:t>
      </w:r>
      <w:r w:rsidRPr="00DD68C7">
        <w:rPr>
          <w:i/>
          <w:lang w:val="en-US"/>
        </w:rPr>
        <w:t>Cognition, 14</w:t>
      </w:r>
      <w:r w:rsidRPr="00DD68C7">
        <w:rPr>
          <w:lang w:val="en-US"/>
        </w:rPr>
        <w:t xml:space="preserve">, 237-273. </w:t>
      </w:r>
      <w:hyperlink r:id="rId23" w:tgtFrame="_blank" w:tooltip="Persistent link using digital object identifier" w:history="1">
        <w:r w:rsidRPr="00DD68C7">
          <w:rPr>
            <w:rStyle w:val="Hyperlink"/>
            <w:color w:val="auto"/>
            <w:u w:val="none"/>
          </w:rPr>
          <w:t>https://doi.org/10.1016/0010-0277(83)90006-9</w:t>
        </w:r>
      </w:hyperlink>
    </w:p>
    <w:p w14:paraId="66DE35A7" w14:textId="3265DD75" w:rsidR="00F123D2" w:rsidRPr="00F123D2" w:rsidRDefault="00F123D2" w:rsidP="00F123D2">
      <w:pPr>
        <w:shd w:val="clear" w:color="auto" w:fill="FFFFFF"/>
        <w:ind w:left="720" w:hanging="720"/>
        <w:rPr>
          <w:lang w:val="it-IT" w:eastAsia="it-IT" w:bidi="bn-BD"/>
        </w:rPr>
      </w:pPr>
      <w:r w:rsidRPr="00F123D2">
        <w:rPr>
          <w:lang w:val="it-IT" w:eastAsia="it-IT" w:bidi="bn-BD"/>
        </w:rPr>
        <w:t>Cacciari, C., Corradini, P., P</w:t>
      </w:r>
      <w:r>
        <w:rPr>
          <w:lang w:val="it-IT" w:eastAsia="it-IT" w:bidi="bn-BD"/>
        </w:rPr>
        <w:t xml:space="preserve">adovani, R., &amp; Carreiras, M. (2011). </w:t>
      </w:r>
      <w:r w:rsidRPr="00F123D2">
        <w:rPr>
          <w:lang w:val="it-IT" w:eastAsia="it-IT" w:bidi="bn-BD"/>
        </w:rPr>
        <w:t>Pronoun resolution in Italian: The role of grammatical gender and context. </w:t>
      </w:r>
      <w:r w:rsidRPr="00F123D2">
        <w:rPr>
          <w:i/>
          <w:iCs/>
          <w:lang w:val="it-IT" w:eastAsia="it-IT" w:bidi="bn-BD"/>
        </w:rPr>
        <w:t>Journal of Cognitive Psychology,</w:t>
      </w:r>
      <w:r w:rsidRPr="00F123D2">
        <w:rPr>
          <w:lang w:val="it-IT" w:eastAsia="it-IT" w:bidi="bn-BD"/>
        </w:rPr>
        <w:t> </w:t>
      </w:r>
      <w:r w:rsidRPr="00F123D2">
        <w:rPr>
          <w:i/>
          <w:iCs/>
          <w:lang w:val="it-IT" w:eastAsia="it-IT" w:bidi="bn-BD"/>
        </w:rPr>
        <w:t>23</w:t>
      </w:r>
      <w:r w:rsidRPr="00F123D2">
        <w:rPr>
          <w:lang w:val="it-IT" w:eastAsia="it-IT" w:bidi="bn-BD"/>
        </w:rPr>
        <w:t>, 416-434, DO</w:t>
      </w:r>
      <w:r>
        <w:rPr>
          <w:lang w:val="it-IT" w:eastAsia="it-IT" w:bidi="bn-BD"/>
        </w:rPr>
        <w:t>I: 10.1080/20445911.2011.526599</w:t>
      </w:r>
    </w:p>
    <w:p w14:paraId="046229FB" w14:textId="77777777" w:rsidR="00C720F2" w:rsidRPr="00DD68C7" w:rsidRDefault="00C720F2" w:rsidP="00C720F2">
      <w:pPr>
        <w:ind w:left="720" w:hanging="720"/>
        <w:rPr>
          <w:shd w:val="clear" w:color="auto" w:fill="FFFFFF"/>
        </w:rPr>
      </w:pPr>
      <w:r w:rsidRPr="00DD68C7">
        <w:rPr>
          <w:shd w:val="clear" w:color="auto" w:fill="FFFFFF"/>
        </w:rPr>
        <w:t xml:space="preserve">Carminati, M. N. (2002). </w:t>
      </w:r>
      <w:r w:rsidRPr="00DD68C7">
        <w:rPr>
          <w:i/>
          <w:iCs/>
          <w:shd w:val="clear" w:color="auto" w:fill="FFFFFF"/>
        </w:rPr>
        <w:t>The processing of Italian subject pronouns</w:t>
      </w:r>
      <w:r w:rsidRPr="00DD68C7">
        <w:rPr>
          <w:shd w:val="clear" w:color="auto" w:fill="FFFFFF"/>
        </w:rPr>
        <w:t xml:space="preserve"> (Doctoral dissertation). Retrieved from Proquest (AAI3039345)</w:t>
      </w:r>
      <w:r>
        <w:rPr>
          <w:shd w:val="clear" w:color="auto" w:fill="FFFFFF"/>
        </w:rPr>
        <w:t>.</w:t>
      </w:r>
    </w:p>
    <w:p w14:paraId="226C8814" w14:textId="7E35FD63" w:rsidR="007A1134" w:rsidRPr="00C002AC" w:rsidRDefault="007A1134" w:rsidP="007A1134">
      <w:pPr>
        <w:ind w:left="720" w:hanging="720"/>
        <w:rPr>
          <w:shd w:val="clear" w:color="auto" w:fill="FFFFFF"/>
          <w:lang w:val="en-US"/>
        </w:rPr>
      </w:pPr>
      <w:r w:rsidRPr="00C002AC">
        <w:rPr>
          <w:shd w:val="clear" w:color="auto" w:fill="FFFFFF"/>
          <w:lang w:val="en-US"/>
        </w:rPr>
        <w:t>de Carvalho Maia, J., Vernice, M., Gelormini-Lezama, C.,</w:t>
      </w:r>
      <w:r w:rsidR="0011417B">
        <w:rPr>
          <w:shd w:val="clear" w:color="auto" w:fill="FFFFFF"/>
          <w:lang w:val="en-US"/>
        </w:rPr>
        <w:t xml:space="preserve"> </w:t>
      </w:r>
      <w:r w:rsidRPr="00C002AC">
        <w:rPr>
          <w:shd w:val="clear" w:color="auto" w:fill="FFFFFF"/>
          <w:lang w:val="en-US"/>
        </w:rPr>
        <w:t xml:space="preserve">Cunha Lima, M. L., Almor, A. (2017). Co-referential processing of pronouns and repeated names in Italian. </w:t>
      </w:r>
      <w:r w:rsidRPr="00C002AC">
        <w:rPr>
          <w:i/>
          <w:iCs/>
          <w:shd w:val="clear" w:color="auto" w:fill="FFFFFF"/>
          <w:lang w:val="en-US"/>
        </w:rPr>
        <w:t>Journal of Psycholinguistic Research</w:t>
      </w:r>
      <w:r w:rsidRPr="00C002AC">
        <w:rPr>
          <w:shd w:val="clear" w:color="auto" w:fill="FFFFFF"/>
          <w:lang w:val="en-US"/>
        </w:rPr>
        <w:t xml:space="preserve">, </w:t>
      </w:r>
      <w:r w:rsidRPr="00C002AC">
        <w:rPr>
          <w:i/>
          <w:iCs/>
          <w:shd w:val="clear" w:color="auto" w:fill="FFFFFF"/>
          <w:lang w:val="en-US"/>
        </w:rPr>
        <w:t>46</w:t>
      </w:r>
      <w:r w:rsidR="00A73702" w:rsidRPr="0011417B">
        <w:rPr>
          <w:shd w:val="clear" w:color="auto" w:fill="FFFFFF"/>
          <w:lang w:val="en-US"/>
        </w:rPr>
        <w:t xml:space="preserve">, </w:t>
      </w:r>
      <w:r w:rsidRPr="00C002AC">
        <w:rPr>
          <w:shd w:val="clear" w:color="auto" w:fill="FFFFFF"/>
          <w:lang w:val="en-US"/>
        </w:rPr>
        <w:t xml:space="preserve">497–506. </w:t>
      </w:r>
    </w:p>
    <w:p w14:paraId="44F142B2" w14:textId="77777777" w:rsidR="00C720F2" w:rsidRPr="00DD68C7" w:rsidRDefault="00C720F2" w:rsidP="00C720F2">
      <w:pPr>
        <w:shd w:val="clear" w:color="auto" w:fill="FFFFFF" w:themeFill="background1"/>
        <w:ind w:left="720" w:hanging="720"/>
        <w:rPr>
          <w:lang w:eastAsia="it-IT"/>
        </w:rPr>
      </w:pPr>
      <w:r w:rsidRPr="00DD68C7">
        <w:rPr>
          <w:lang w:eastAsia="it-IT"/>
        </w:rPr>
        <w:t xml:space="preserve">Chafe, W. (1976). Givenness, contrastiveness, definiteness, subjects, topics, and point of view. In C. N. Li (Ed.), </w:t>
      </w:r>
      <w:r w:rsidRPr="00DD68C7">
        <w:rPr>
          <w:i/>
          <w:iCs/>
          <w:lang w:eastAsia="it-IT"/>
        </w:rPr>
        <w:t>Subject and topic</w:t>
      </w:r>
      <w:r w:rsidRPr="00DD68C7">
        <w:rPr>
          <w:lang w:eastAsia="it-IT"/>
        </w:rPr>
        <w:t xml:space="preserve"> (pp. 25–56). New York, NY: Academic Press.</w:t>
      </w:r>
    </w:p>
    <w:p w14:paraId="76988F90" w14:textId="77777777" w:rsidR="00C720F2" w:rsidRPr="00DD68C7" w:rsidRDefault="00C720F2" w:rsidP="00C720F2">
      <w:pPr>
        <w:shd w:val="clear" w:color="auto" w:fill="FFFFFF" w:themeFill="background1"/>
        <w:ind w:left="720" w:hanging="720"/>
        <w:rPr>
          <w:shd w:val="clear" w:color="auto" w:fill="FFFFFF"/>
        </w:rPr>
      </w:pPr>
      <w:r w:rsidRPr="00DD68C7">
        <w:rPr>
          <w:shd w:val="clear" w:color="auto" w:fill="FFFFFF"/>
        </w:rPr>
        <w:t>Chafe, W. (2004). Discourse effects of polysynthesis. In C. L. Moder &amp; A. Martinovic-Zic (Eds.),</w:t>
      </w:r>
      <w:r w:rsidRPr="00DD68C7">
        <w:rPr>
          <w:rStyle w:val="apple-converted-space"/>
          <w:shd w:val="clear" w:color="auto" w:fill="FFFFFF"/>
        </w:rPr>
        <w:t> </w:t>
      </w:r>
      <w:r w:rsidRPr="00DD68C7">
        <w:rPr>
          <w:i/>
          <w:iCs/>
          <w:shd w:val="clear" w:color="auto" w:fill="FFFFFF"/>
        </w:rPr>
        <w:t>Discourse Across Languages and Cultures</w:t>
      </w:r>
      <w:r w:rsidRPr="00DD68C7">
        <w:rPr>
          <w:shd w:val="clear" w:color="auto" w:fill="FFFFFF"/>
        </w:rPr>
        <w:t xml:space="preserve"> (pp. 37-52). Amsterdam/Philadelphia: John Benjamins.</w:t>
      </w:r>
    </w:p>
    <w:p w14:paraId="631BE77F" w14:textId="7D18758E" w:rsidR="00602169" w:rsidRPr="00602169" w:rsidRDefault="00602169" w:rsidP="00602169">
      <w:pPr>
        <w:ind w:left="720" w:hanging="720"/>
        <w:rPr>
          <w:lang w:val="en-US"/>
        </w:rPr>
      </w:pPr>
      <w:r w:rsidRPr="00602169">
        <w:rPr>
          <w:lang w:val="en-US"/>
        </w:rPr>
        <w:t>de Carvalho Maia, J., Vernice, M., Gelormini-Lezama, C.,Cunha Lima, M. L., Almor, A. (</w:t>
      </w:r>
      <w:r>
        <w:rPr>
          <w:lang w:val="en-US"/>
        </w:rPr>
        <w:t>2017</w:t>
      </w:r>
      <w:r w:rsidRPr="00602169">
        <w:rPr>
          <w:lang w:val="en-US"/>
        </w:rPr>
        <w:t xml:space="preserve">). Co-referential processing of pronouns and repeated names in Italian. </w:t>
      </w:r>
      <w:r w:rsidRPr="00602169">
        <w:rPr>
          <w:i/>
          <w:iCs/>
          <w:lang w:val="en-US"/>
        </w:rPr>
        <w:t>Journal of Psycholinguistic Research</w:t>
      </w:r>
      <w:r>
        <w:rPr>
          <w:lang w:val="en-US"/>
        </w:rPr>
        <w:t>,</w:t>
      </w:r>
      <w:r w:rsidRPr="00602169">
        <w:rPr>
          <w:color w:val="131413"/>
          <w:sz w:val="16"/>
          <w:szCs w:val="16"/>
          <w:lang w:val="en-US"/>
        </w:rPr>
        <w:t xml:space="preserve"> </w:t>
      </w:r>
      <w:r w:rsidRPr="00602169">
        <w:rPr>
          <w:lang w:val="en-US"/>
        </w:rPr>
        <w:t>46:497–506</w:t>
      </w:r>
      <w:r>
        <w:rPr>
          <w:lang w:val="en-US"/>
        </w:rPr>
        <w:t xml:space="preserve">. </w:t>
      </w:r>
      <w:r w:rsidRPr="00602169">
        <w:rPr>
          <w:lang w:val="en-US"/>
        </w:rPr>
        <w:t>DOI 10.1007/s10936-016-9450-2</w:t>
      </w:r>
    </w:p>
    <w:p w14:paraId="55C86C8A" w14:textId="77777777" w:rsidR="00C720F2" w:rsidRPr="00DD68C7" w:rsidRDefault="00C720F2" w:rsidP="00C720F2">
      <w:pPr>
        <w:ind w:left="720" w:hanging="720"/>
      </w:pPr>
      <w:r w:rsidRPr="00DD68C7">
        <w:t>Fedele, E. &amp; Kaiser, E. (2015</w:t>
      </w:r>
      <w:r>
        <w:t>, October</w:t>
      </w:r>
      <w:r w:rsidRPr="00DD68C7">
        <w:t xml:space="preserve">). Resolving null and overt pronouns in Italian. In C. Brown, Q. Gu, C. Loos, J. Mielens, G. Neveu (Eds.), </w:t>
      </w:r>
      <w:r w:rsidRPr="00DD68C7">
        <w:rPr>
          <w:i/>
          <w:iCs/>
        </w:rPr>
        <w:t>Proceedings of the 15th Texas Linguistic Society</w:t>
      </w:r>
      <w:r w:rsidRPr="00DD68C7">
        <w:t>. Paper presented at the 15</w:t>
      </w:r>
      <w:r w:rsidRPr="00DD68C7">
        <w:rPr>
          <w:vertAlign w:val="superscript"/>
        </w:rPr>
        <w:t>th</w:t>
      </w:r>
      <w:r w:rsidRPr="00DD68C7">
        <w:t xml:space="preserve"> Texas Linguistic Society Conference, University of Texas, Austin, TX (pp. 53-72). </w:t>
      </w:r>
    </w:p>
    <w:p w14:paraId="04F8D343" w14:textId="77777777" w:rsidR="00C720F2" w:rsidRPr="00DD68C7" w:rsidRDefault="00C720F2" w:rsidP="00C720F2">
      <w:pPr>
        <w:ind w:left="720" w:hanging="720"/>
        <w:rPr>
          <w:lang w:val="it-IT" w:eastAsia="it-IT" w:bidi="bn-BD"/>
        </w:rPr>
      </w:pPr>
      <w:r w:rsidRPr="00DD68C7">
        <w:rPr>
          <w:shd w:val="clear" w:color="auto" w:fill="FFFFFF"/>
        </w:rPr>
        <w:lastRenderedPageBreak/>
        <w:t xml:space="preserve"> </w:t>
      </w:r>
      <w:r w:rsidRPr="00DD68C7">
        <w:rPr>
          <w:lang w:eastAsia="it-IT"/>
        </w:rPr>
        <w:t xml:space="preserve">Filiaci, F. (2011). Anaphoric preferences of null and overt subjects in Italian and Spanish: A cross-linguistic comparison. In </w:t>
      </w:r>
      <w:r w:rsidRPr="00DD68C7">
        <w:rPr>
          <w:lang w:val="it-IT" w:eastAsia="it-IT" w:bidi="bn-BD"/>
        </w:rPr>
        <w:t xml:space="preserve">C. Borgonovo, M. Español-Echevarría, and P. Prévost (Eds.), </w:t>
      </w:r>
      <w:r w:rsidRPr="00DD68C7">
        <w:rPr>
          <w:i/>
          <w:iCs/>
          <w:lang w:val="it-IT" w:eastAsia="it-IT" w:bidi="bn-BD"/>
        </w:rPr>
        <w:t xml:space="preserve">Selected Proceedings of the 12th Hispanic Linguistics Symposium. </w:t>
      </w:r>
      <w:r w:rsidRPr="00DD68C7">
        <w:rPr>
          <w:lang w:val="it-IT" w:eastAsia="it-IT" w:bidi="bn-BD"/>
        </w:rPr>
        <w:t xml:space="preserve">Paper presented at 12th Hispanic Linguistics Symposium, Laval University (pp. 171-182). </w:t>
      </w:r>
      <w:r w:rsidRPr="00DD68C7">
        <w:rPr>
          <w:shd w:val="clear" w:color="auto" w:fill="FFFFFF"/>
        </w:rPr>
        <w:t>Somerville, MA: Cascadilla Proceedings Project.</w:t>
      </w:r>
    </w:p>
    <w:p w14:paraId="58CD5EBF" w14:textId="77777777" w:rsidR="00C720F2" w:rsidRPr="00DD68C7" w:rsidRDefault="00C720F2" w:rsidP="00C720F2">
      <w:pPr>
        <w:ind w:left="720" w:hanging="720"/>
      </w:pPr>
      <w:r w:rsidRPr="00DD68C7">
        <w:t xml:space="preserve">Filiaci, F., Sorace, A., &amp; Carreiras, M. (2013). Anaphoric biases of null and overt subjects in Italian and Spanish: A cross-linguistic comparison. </w:t>
      </w:r>
      <w:r w:rsidRPr="00DD68C7">
        <w:rPr>
          <w:i/>
          <w:iCs/>
        </w:rPr>
        <w:t>Language and Cognitive Processes, 29</w:t>
      </w:r>
      <w:r w:rsidRPr="00DD68C7">
        <w:t>, 825–843. doi: 10.1080/01690965.2013.801502</w:t>
      </w:r>
    </w:p>
    <w:p w14:paraId="59B8A212" w14:textId="77777777" w:rsidR="00C720F2" w:rsidRPr="00F123D2" w:rsidRDefault="00C720F2" w:rsidP="00C720F2">
      <w:pPr>
        <w:ind w:left="720" w:hanging="720"/>
        <w:rPr>
          <w:rStyle w:val="Hyperlink"/>
          <w:color w:val="auto"/>
          <w:u w:val="none"/>
          <w:bdr w:val="none" w:sz="0" w:space="0" w:color="auto" w:frame="1"/>
          <w:shd w:val="clear" w:color="auto" w:fill="FFFFFF"/>
        </w:rPr>
      </w:pPr>
      <w:r w:rsidRPr="00DD68C7">
        <w:t xml:space="preserve">Fukumura, K., &amp; van Gompel, R.P.G. (2010). Choosing anaphoric expression: Do people take into account likelihood of reference? </w:t>
      </w:r>
      <w:r w:rsidRPr="00DD68C7">
        <w:rPr>
          <w:i/>
          <w:iCs/>
        </w:rPr>
        <w:t>Journal of Memory and Language, 62</w:t>
      </w:r>
      <w:r w:rsidRPr="00DD68C7">
        <w:t>, 52-</w:t>
      </w:r>
      <w:r w:rsidRPr="00F123D2">
        <w:t xml:space="preserve">66. </w:t>
      </w:r>
      <w:hyperlink r:id="rId24" w:tgtFrame="doilink" w:history="1">
        <w:r w:rsidRPr="00F123D2">
          <w:rPr>
            <w:rStyle w:val="Hyperlink"/>
            <w:color w:val="auto"/>
            <w:u w:val="none"/>
            <w:bdr w:val="none" w:sz="0" w:space="0" w:color="auto" w:frame="1"/>
            <w:shd w:val="clear" w:color="auto" w:fill="FFFFFF"/>
          </w:rPr>
          <w:t>https://doi.org/10.1016/j.jml.2009.09.001</w:t>
        </w:r>
      </w:hyperlink>
    </w:p>
    <w:p w14:paraId="632682C5" w14:textId="77777777" w:rsidR="008F7660" w:rsidRDefault="00F123D2" w:rsidP="008F7660">
      <w:pPr>
        <w:ind w:left="720" w:hanging="720"/>
        <w:rPr>
          <w:bdr w:val="none" w:sz="0" w:space="0" w:color="auto" w:frame="1"/>
          <w:shd w:val="clear" w:color="auto" w:fill="FFFFFF"/>
        </w:rPr>
      </w:pPr>
      <w:r w:rsidRPr="00F123D2">
        <w:rPr>
          <w:shd w:val="clear" w:color="auto" w:fill="FFFFFF"/>
        </w:rPr>
        <w:t>Garnham, A., Oakhill, J., Ehrlich, M., &amp; Carreiras, M. (1995). Representations and processes in the interpretation of pronouns: New evidence from Spanish and French. </w:t>
      </w:r>
      <w:r w:rsidRPr="00F123D2">
        <w:rPr>
          <w:i/>
          <w:iCs/>
          <w:shd w:val="clear" w:color="auto" w:fill="FFFFFF"/>
        </w:rPr>
        <w:t>Journal of Memory and Language</w:t>
      </w:r>
      <w:r w:rsidRPr="00F123D2">
        <w:rPr>
          <w:shd w:val="clear" w:color="auto" w:fill="FFFFFF"/>
        </w:rPr>
        <w:t>, </w:t>
      </w:r>
      <w:r w:rsidRPr="00F123D2">
        <w:rPr>
          <w:i/>
          <w:iCs/>
          <w:shd w:val="clear" w:color="auto" w:fill="FFFFFF"/>
        </w:rPr>
        <w:t>34</w:t>
      </w:r>
      <w:r w:rsidRPr="00F123D2">
        <w:rPr>
          <w:shd w:val="clear" w:color="auto" w:fill="FFFFFF"/>
        </w:rPr>
        <w:t>, 41-62. doi:10.1006/jmla.1995.1003</w:t>
      </w:r>
    </w:p>
    <w:p w14:paraId="4CD4BF45" w14:textId="5773BDF8" w:rsidR="008F7660" w:rsidRPr="008F7660" w:rsidRDefault="008F7660" w:rsidP="008F7660">
      <w:pPr>
        <w:ind w:left="720" w:hanging="720"/>
        <w:rPr>
          <w:bdr w:val="none" w:sz="0" w:space="0" w:color="auto" w:frame="1"/>
          <w:shd w:val="clear" w:color="auto" w:fill="FFFFFF"/>
        </w:rPr>
      </w:pPr>
      <w:r w:rsidRPr="008F7660">
        <w:rPr>
          <w:lang w:val="en-US" w:eastAsia="en-US"/>
        </w:rPr>
        <w:t xml:space="preserve">Gelormini-Lezama, C. (2018). Exploring the repeated name penalty and the overt pronoun penalty in Spanish. </w:t>
      </w:r>
      <w:r w:rsidRPr="008F7660">
        <w:rPr>
          <w:i/>
          <w:iCs/>
          <w:lang w:val="en-US" w:eastAsia="en-US"/>
        </w:rPr>
        <w:t>Journal of Psycholinguistic Research</w:t>
      </w:r>
      <w:r w:rsidRPr="008F7660">
        <w:rPr>
          <w:lang w:val="en-US" w:eastAsia="en-US"/>
        </w:rPr>
        <w:t xml:space="preserve">, </w:t>
      </w:r>
      <w:r w:rsidRPr="008F7660">
        <w:rPr>
          <w:i/>
          <w:iCs/>
          <w:lang w:val="en-US" w:eastAsia="en-US"/>
        </w:rPr>
        <w:t>47</w:t>
      </w:r>
      <w:r w:rsidRPr="008F7660">
        <w:rPr>
          <w:lang w:val="en-US" w:eastAsia="en-US"/>
        </w:rPr>
        <w:t>(2), 377–389. https://doi-org.libproxy.lib.unc.edu/10.1007/s10936-017-9529-4</w:t>
      </w:r>
    </w:p>
    <w:p w14:paraId="1B2E80D5" w14:textId="38C085AB" w:rsidR="00C720F2" w:rsidRDefault="00C720F2" w:rsidP="00C720F2">
      <w:pPr>
        <w:ind w:left="720" w:hanging="720"/>
        <w:rPr>
          <w:rStyle w:val="Hyperlink"/>
          <w:color w:val="auto"/>
          <w:u w:val="none"/>
          <w:shd w:val="clear" w:color="auto" w:fill="FFFFFF"/>
        </w:rPr>
      </w:pPr>
      <w:r w:rsidRPr="00DD68C7">
        <w:rPr>
          <w:shd w:val="clear" w:color="auto" w:fill="FFFFFF"/>
        </w:rPr>
        <w:t>Gelormini-Lezama, C., &amp; Almor, A. (2011). Repeated names, overt pronouns, and null pronouns in Spanish. </w:t>
      </w:r>
      <w:r w:rsidRPr="00DD68C7">
        <w:rPr>
          <w:i/>
          <w:iCs/>
          <w:shd w:val="clear" w:color="auto" w:fill="FFFFFF"/>
        </w:rPr>
        <w:t>Language and Cognitive Processes</w:t>
      </w:r>
      <w:r w:rsidRPr="00DD68C7">
        <w:rPr>
          <w:shd w:val="clear" w:color="auto" w:fill="FFFFFF"/>
        </w:rPr>
        <w:t xml:space="preserve">, </w:t>
      </w:r>
      <w:r w:rsidRPr="00DD68C7">
        <w:rPr>
          <w:i/>
          <w:iCs/>
          <w:shd w:val="clear" w:color="auto" w:fill="FFFFFF"/>
        </w:rPr>
        <w:t>26</w:t>
      </w:r>
      <w:r w:rsidRPr="00DD68C7">
        <w:rPr>
          <w:shd w:val="clear" w:color="auto" w:fill="FFFFFF"/>
        </w:rPr>
        <w:t xml:space="preserve">, 437–454. </w:t>
      </w:r>
      <w:hyperlink r:id="rId25" w:history="1">
        <w:r w:rsidRPr="00DD68C7">
          <w:rPr>
            <w:rStyle w:val="Hyperlink"/>
            <w:color w:val="auto"/>
            <w:u w:val="none"/>
            <w:shd w:val="clear" w:color="auto" w:fill="FFFFFF"/>
          </w:rPr>
          <w:t>http://doi.org/10.1080/01690965.2010.495234</w:t>
        </w:r>
      </w:hyperlink>
    </w:p>
    <w:p w14:paraId="2704198A" w14:textId="77777777" w:rsidR="007A1134" w:rsidRPr="007A1134" w:rsidRDefault="007A1134" w:rsidP="007A1134">
      <w:pPr>
        <w:ind w:left="720" w:hanging="720"/>
        <w:rPr>
          <w:shd w:val="clear" w:color="auto" w:fill="FFFFFF"/>
          <w:lang w:val="en-US"/>
        </w:rPr>
      </w:pPr>
      <w:r w:rsidRPr="007A1134">
        <w:rPr>
          <w:shd w:val="clear" w:color="auto" w:fill="FFFFFF"/>
          <w:lang w:val="en-US"/>
        </w:rPr>
        <w:t>Gelormini-Lezama, C. &amp; Almor, A. (2014). Singular and Plural Pronominal Reference in Spanish. Journal of Psycholinguistic Research, 43(3) 299-313.</w:t>
      </w:r>
    </w:p>
    <w:p w14:paraId="62111B42" w14:textId="77777777" w:rsidR="00C720F2" w:rsidRPr="00DD68C7" w:rsidRDefault="00C720F2" w:rsidP="00C720F2">
      <w:pPr>
        <w:ind w:left="720" w:hanging="720"/>
        <w:rPr>
          <w:shd w:val="clear" w:color="auto" w:fill="FFFFFF"/>
          <w:lang w:val="en-US"/>
        </w:rPr>
      </w:pPr>
      <w:r w:rsidRPr="00DD68C7">
        <w:rPr>
          <w:shd w:val="clear" w:color="auto" w:fill="FFFFFF"/>
          <w:lang w:val="en-US"/>
        </w:rPr>
        <w:t>Givón, T. (1983). Topic continuity in discourse: An introduction. In T. Givón (Ed.),</w:t>
      </w:r>
      <w:r w:rsidRPr="00DD68C7">
        <w:t xml:space="preserve"> </w:t>
      </w:r>
      <w:r w:rsidRPr="00DD68C7">
        <w:rPr>
          <w:shd w:val="clear" w:color="auto" w:fill="FFFFFF"/>
          <w:lang w:val="en-US"/>
        </w:rPr>
        <w:t>Topic continuity in discourse: A quantitative cross-language study (pp. 1–42).</w:t>
      </w:r>
      <w:r w:rsidRPr="00DD68C7">
        <w:rPr>
          <w:bdr w:val="none" w:sz="0" w:space="0" w:color="auto" w:frame="1"/>
          <w:lang w:val="it-IT" w:eastAsia="it-IT" w:bidi="bn-BD"/>
        </w:rPr>
        <w:t xml:space="preserve"> Amsterdam/Philadelphia</w:t>
      </w:r>
      <w:r w:rsidRPr="00DD68C7">
        <w:rPr>
          <w:shd w:val="clear" w:color="auto" w:fill="FFFFFF"/>
        </w:rPr>
        <w:t>: John Benjamins.</w:t>
      </w:r>
      <w:r w:rsidRPr="00DD68C7">
        <w:t xml:space="preserve"> </w:t>
      </w:r>
    </w:p>
    <w:p w14:paraId="454F8F70" w14:textId="77777777" w:rsidR="00C720F2" w:rsidRPr="00DD68C7" w:rsidRDefault="00975DF7" w:rsidP="00C720F2">
      <w:pPr>
        <w:ind w:left="720" w:hanging="720"/>
      </w:pPr>
      <w:hyperlink r:id="rId26">
        <w:r w:rsidR="00C720F2" w:rsidRPr="00DD68C7">
          <w:rPr>
            <w:rStyle w:val="Hyperlink"/>
            <w:color w:val="auto"/>
            <w:u w:val="none"/>
          </w:rPr>
          <w:t>Gundel, J. K.</w:t>
        </w:r>
      </w:hyperlink>
      <w:r w:rsidR="00C720F2" w:rsidRPr="00DD68C7">
        <w:t xml:space="preserve">, Hedberg N., &amp; Zacharski R. (1993). Cognitive status and the form of referring expressions in discourse. </w:t>
      </w:r>
      <w:r w:rsidR="00C720F2" w:rsidRPr="00DD68C7">
        <w:rPr>
          <w:i/>
          <w:iCs/>
        </w:rPr>
        <w:t>Language, 69</w:t>
      </w:r>
      <w:r w:rsidR="00C720F2" w:rsidRPr="00DD68C7">
        <w:t xml:space="preserve">, 274-307. </w:t>
      </w:r>
      <w:r w:rsidR="00C720F2" w:rsidRPr="00DD68C7">
        <w:rPr>
          <w:shd w:val="clear" w:color="auto" w:fill="FFFFFF"/>
        </w:rPr>
        <w:t>doi: 10.2307/416535</w:t>
      </w:r>
    </w:p>
    <w:p w14:paraId="00D63334" w14:textId="77777777" w:rsidR="00BF4DE9" w:rsidRDefault="00BF4DE9" w:rsidP="00C720F2">
      <w:pPr>
        <w:ind w:left="720" w:hanging="720"/>
        <w:rPr>
          <w:lang w:val="en-US"/>
        </w:rPr>
      </w:pPr>
      <w:r w:rsidRPr="00BF4DE9">
        <w:rPr>
          <w:lang w:val="en-US"/>
        </w:rPr>
        <w:t xml:space="preserve">Guan, S. &amp; Arnold, J. E. (2021). The predictability of implicit causes: testing frequency and topicality explanations. </w:t>
      </w:r>
      <w:r w:rsidRPr="00BF4DE9">
        <w:rPr>
          <w:i/>
          <w:iCs/>
          <w:lang w:val="en-US"/>
        </w:rPr>
        <w:t>Discourse Processes</w:t>
      </w:r>
      <w:r w:rsidRPr="00BF4DE9">
        <w:rPr>
          <w:lang w:val="en-US"/>
        </w:rPr>
        <w:t>. DOI:</w:t>
      </w:r>
      <w:r w:rsidRPr="00BF4DE9">
        <w:rPr>
          <w:lang w:val="en-US"/>
        </w:rPr>
        <w:br/>
        <w:t>10.1080/0163853X.2021.1974690</w:t>
      </w:r>
    </w:p>
    <w:p w14:paraId="183E9B13" w14:textId="53F365E2" w:rsidR="00C720F2" w:rsidRPr="00DD68C7" w:rsidRDefault="00C720F2" w:rsidP="00C720F2">
      <w:pPr>
        <w:ind w:left="720" w:hanging="720"/>
        <w:rPr>
          <w:shd w:val="clear" w:color="auto" w:fill="FFFFFF"/>
        </w:rPr>
      </w:pPr>
      <w:r w:rsidRPr="00BF4DE9">
        <w:rPr>
          <w:color w:val="000000" w:themeColor="text1"/>
        </w:rPr>
        <w:t xml:space="preserve">Hartshorne, J. K., Sudo Y., &amp; Uruwashi M. (2013). Are implicit causality pronoun resolution </w:t>
      </w:r>
      <w:r w:rsidRPr="00DD68C7">
        <w:t xml:space="preserve">biases consistent across languages and cultures? </w:t>
      </w:r>
      <w:r w:rsidRPr="00DD68C7">
        <w:rPr>
          <w:i/>
          <w:iCs/>
        </w:rPr>
        <w:t>Experimental Psychology</w:t>
      </w:r>
      <w:r w:rsidRPr="00DD68C7">
        <w:t>,</w:t>
      </w:r>
      <w:r w:rsidRPr="00DD68C7">
        <w:rPr>
          <w:i/>
          <w:iCs/>
        </w:rPr>
        <w:t xml:space="preserve"> 60</w:t>
      </w:r>
      <w:r w:rsidRPr="00DD68C7">
        <w:t xml:space="preserve">, 179-196. </w:t>
      </w:r>
      <w:r w:rsidRPr="00DD68C7">
        <w:rPr>
          <w:shd w:val="clear" w:color="auto" w:fill="FFFFFF"/>
        </w:rPr>
        <w:t>doi: 10.1027/1618-3169/a000187</w:t>
      </w:r>
    </w:p>
    <w:p w14:paraId="34CFE425" w14:textId="367D9D88" w:rsidR="00C720F2" w:rsidRPr="00DD68C7" w:rsidRDefault="00C720F2" w:rsidP="00C720F2">
      <w:pPr>
        <w:ind w:left="720" w:hanging="720"/>
        <w:rPr>
          <w:shd w:val="clear" w:color="auto" w:fill="FFFFFF"/>
        </w:rPr>
      </w:pPr>
      <w:r w:rsidRPr="00DD68C7">
        <w:rPr>
          <w:shd w:val="clear" w:color="auto" w:fill="FFFFFF"/>
        </w:rPr>
        <w:t>Kaiser, E., &amp; Trueswell, J.C. (2008) Interpreting pronouns and demonstratives in Finnish: Evidence for a form-specific approach to reference resolution. </w:t>
      </w:r>
      <w:r w:rsidRPr="00DD68C7">
        <w:rPr>
          <w:i/>
          <w:iCs/>
          <w:shd w:val="clear" w:color="auto" w:fill="FFFFFF"/>
        </w:rPr>
        <w:t>Language and Cognitive Processes, 23</w:t>
      </w:r>
      <w:r w:rsidRPr="00DD68C7">
        <w:rPr>
          <w:shd w:val="clear" w:color="auto" w:fill="FFFFFF"/>
        </w:rPr>
        <w:t>, 709-748. </w:t>
      </w:r>
      <w:hyperlink r:id="rId27" w:history="1">
        <w:r w:rsidR="00BF4DE9" w:rsidRPr="00181152">
          <w:rPr>
            <w:rStyle w:val="Hyperlink"/>
          </w:rPr>
          <w:t>https://doi.org/10.1080/01690960701771220</w:t>
        </w:r>
      </w:hyperlink>
    </w:p>
    <w:p w14:paraId="26703AC8" w14:textId="77777777" w:rsidR="00C720F2" w:rsidRPr="00D011E8" w:rsidRDefault="00C720F2" w:rsidP="00C720F2">
      <w:pPr>
        <w:widowControl w:val="0"/>
        <w:autoSpaceDE w:val="0"/>
        <w:autoSpaceDN w:val="0"/>
        <w:adjustRightInd w:val="0"/>
        <w:ind w:left="720" w:hanging="720"/>
        <w:rPr>
          <w:rStyle w:val="Hyperlink"/>
          <w:color w:val="auto"/>
          <w:u w:val="none"/>
          <w:shd w:val="clear" w:color="auto" w:fill="FFFFFF"/>
        </w:rPr>
      </w:pPr>
      <w:r w:rsidRPr="00DD68C7">
        <w:rPr>
          <w:lang w:val="en-US"/>
        </w:rPr>
        <w:t>Kehler, A</w:t>
      </w:r>
      <w:r w:rsidRPr="00D011E8">
        <w:rPr>
          <w:lang w:val="en-US"/>
        </w:rPr>
        <w:t xml:space="preserve">., Kertz, L., Rohde, H., &amp; Elman, J. (2008). Coherence and coreference revisted. </w:t>
      </w:r>
      <w:r w:rsidRPr="00D011E8">
        <w:rPr>
          <w:i/>
          <w:iCs/>
        </w:rPr>
        <w:t>Journal of Semantics, 25</w:t>
      </w:r>
      <w:r w:rsidRPr="00D011E8">
        <w:t xml:space="preserve">, 1-44. </w:t>
      </w:r>
      <w:r w:rsidRPr="00D011E8">
        <w:rPr>
          <w:rStyle w:val="doi"/>
          <w:shd w:val="clear" w:color="auto" w:fill="FFFFFF"/>
        </w:rPr>
        <w:t xml:space="preserve">doi: </w:t>
      </w:r>
      <w:hyperlink r:id="rId28" w:tgtFrame="pmc_ext" w:history="1">
        <w:r w:rsidRPr="00D011E8">
          <w:rPr>
            <w:rStyle w:val="Hyperlink"/>
            <w:color w:val="auto"/>
            <w:u w:val="none"/>
            <w:shd w:val="clear" w:color="auto" w:fill="FFFFFF"/>
          </w:rPr>
          <w:t>10.1093/jos/ffm018</w:t>
        </w:r>
      </w:hyperlink>
    </w:p>
    <w:p w14:paraId="3A8BCE3E" w14:textId="77777777" w:rsidR="00C720F2" w:rsidRPr="00DD68C7" w:rsidRDefault="00C720F2" w:rsidP="00C720F2">
      <w:pPr>
        <w:tabs>
          <w:tab w:val="left" w:pos="-1080"/>
        </w:tabs>
        <w:ind w:left="720" w:hanging="720"/>
        <w:rPr>
          <w:shd w:val="clear" w:color="auto" w:fill="FFFFFF"/>
        </w:rPr>
      </w:pPr>
      <w:r w:rsidRPr="00D011E8">
        <w:t>Kehler, A., &amp; Rohde, H. (2013).</w:t>
      </w:r>
      <w:r w:rsidRPr="00DD68C7">
        <w:t xml:space="preserve"> A probabilistic reconciliation of coherence-driven and centering-driven theories of pronoun interpretation. </w:t>
      </w:r>
      <w:r w:rsidRPr="00DD68C7">
        <w:rPr>
          <w:i/>
          <w:iCs/>
        </w:rPr>
        <w:t>Theoretical Linguistics, 39</w:t>
      </w:r>
      <w:r w:rsidRPr="00DD68C7">
        <w:t xml:space="preserve">, 1-37. </w:t>
      </w:r>
      <w:hyperlink r:id="rId29" w:history="1">
        <w:r w:rsidRPr="00DD68C7">
          <w:rPr>
            <w:rStyle w:val="Hyperlink"/>
            <w:color w:val="auto"/>
            <w:u w:val="none"/>
            <w:shd w:val="clear" w:color="auto" w:fill="FFFFFF"/>
          </w:rPr>
          <w:t>https://doi.org/10.1515/tl-2013-0001</w:t>
        </w:r>
      </w:hyperlink>
    </w:p>
    <w:p w14:paraId="2073F438" w14:textId="77777777" w:rsidR="00C720F2" w:rsidRDefault="00C720F2" w:rsidP="00C720F2">
      <w:pPr>
        <w:ind w:left="720" w:hanging="720"/>
        <w:rPr>
          <w:lang w:val="en-US" w:eastAsia="en-US"/>
        </w:rPr>
      </w:pPr>
      <w:r w:rsidRPr="00DD68C7">
        <w:rPr>
          <w:lang w:val="en-US" w:eastAsia="en-US"/>
        </w:rPr>
        <w:t xml:space="preserve">Kravtchenko, E. (2014). Predictability and syntactic production: Evidence from subject omission in Russian. In P. Bello, M. Guarini, M. McShane, &amp; B. Scassellati (Chairs), </w:t>
      </w:r>
      <w:r w:rsidRPr="00DD68C7">
        <w:rPr>
          <w:i/>
          <w:iCs/>
        </w:rPr>
        <w:t xml:space="preserve">Program of the 36th Annual Meeting of the Cognitive Science Society. </w:t>
      </w:r>
      <w:r w:rsidRPr="00DD68C7">
        <w:rPr>
          <w:lang w:val="en-US" w:eastAsia="en-US"/>
        </w:rPr>
        <w:t>Paper presented at the 36</w:t>
      </w:r>
      <w:r w:rsidRPr="00DD68C7">
        <w:rPr>
          <w:vertAlign w:val="superscript"/>
          <w:lang w:val="en-US" w:eastAsia="en-US"/>
        </w:rPr>
        <w:t>th</w:t>
      </w:r>
      <w:r w:rsidRPr="00DD68C7">
        <w:rPr>
          <w:lang w:val="en-US" w:eastAsia="en-US"/>
        </w:rPr>
        <w:t xml:space="preserve"> Annual Meeting of the Cognitive Science Society, Quebec City, Canada.</w:t>
      </w:r>
    </w:p>
    <w:p w14:paraId="1B6CDE10" w14:textId="77777777" w:rsidR="00C720F2" w:rsidRDefault="00C720F2" w:rsidP="007A1134">
      <w:pPr>
        <w:rPr>
          <w:lang w:val="en-US" w:eastAsia="en-US"/>
        </w:rPr>
      </w:pPr>
    </w:p>
    <w:p w14:paraId="3A8FDDDC" w14:textId="77777777" w:rsidR="00C720F2" w:rsidRPr="005634EB" w:rsidRDefault="00C720F2" w:rsidP="00C720F2">
      <w:pPr>
        <w:ind w:left="720" w:hanging="720"/>
        <w:rPr>
          <w:shd w:val="clear" w:color="auto" w:fill="FFFFFF"/>
        </w:rPr>
      </w:pPr>
      <w:r w:rsidRPr="00DD68C7">
        <w:rPr>
          <w:shd w:val="clear" w:color="auto" w:fill="FFFFFF"/>
        </w:rPr>
        <w:t xml:space="preserve">Kravtchenko, E., Modi, A., Demberg, V., Titov, I., &amp; Pinkal, M. (2017, March). </w:t>
      </w:r>
      <w:r w:rsidRPr="00DD68C7">
        <w:rPr>
          <w:i/>
          <w:iCs/>
          <w:shd w:val="clear" w:color="auto" w:fill="FFFFFF"/>
        </w:rPr>
        <w:t>Does discourse predictability affect rate of pronominalization?</w:t>
      </w:r>
      <w:r w:rsidRPr="00DD68C7">
        <w:rPr>
          <w:shd w:val="clear" w:color="auto" w:fill="FFFFFF"/>
        </w:rPr>
        <w:t xml:space="preserve"> Poster presented at the 30</w:t>
      </w:r>
      <w:r w:rsidRPr="00DD68C7">
        <w:rPr>
          <w:shd w:val="clear" w:color="auto" w:fill="FFFFFF"/>
          <w:vertAlign w:val="superscript"/>
        </w:rPr>
        <w:t>th</w:t>
      </w:r>
      <w:r w:rsidRPr="00DD68C7">
        <w:rPr>
          <w:shd w:val="clear" w:color="auto" w:fill="FFFFFF"/>
        </w:rPr>
        <w:t xml:space="preserve"> </w:t>
      </w:r>
      <w:r w:rsidRPr="00DD68C7">
        <w:rPr>
          <w:shd w:val="clear" w:color="auto" w:fill="FFFFFF"/>
        </w:rPr>
        <w:lastRenderedPageBreak/>
        <w:t>Annual CUNY Conference on Human Sentencing Processing, Massachusetts Institute of Technology, Cambridge, MA.</w:t>
      </w:r>
    </w:p>
    <w:p w14:paraId="3C3F16CA" w14:textId="77777777" w:rsidR="00C720F2" w:rsidRDefault="00C720F2" w:rsidP="00C720F2">
      <w:pPr>
        <w:ind w:left="720" w:hanging="720"/>
      </w:pPr>
      <w:r w:rsidRPr="00DD68C7">
        <w:t xml:space="preserve">Lipski, J. (2002). </w:t>
      </w:r>
      <w:r w:rsidRPr="00DD68C7">
        <w:rPr>
          <w:i/>
          <w:iCs/>
        </w:rPr>
        <w:t>Subject pronoun usage among Spanish dialects</w:t>
      </w:r>
      <w:r w:rsidRPr="00DD68C7">
        <w:t xml:space="preserve">. Unpublished manuscript, Department of Linguistics, Pennsylvania State University, State College, PA. </w:t>
      </w:r>
    </w:p>
    <w:p w14:paraId="391E08B8" w14:textId="78F761BD" w:rsidR="00F123D2" w:rsidRPr="00F123D2" w:rsidRDefault="00F123D2" w:rsidP="00C720F2">
      <w:pPr>
        <w:ind w:left="720" w:hanging="720"/>
      </w:pPr>
      <w:r w:rsidRPr="00F123D2">
        <w:rPr>
          <w:rStyle w:val="m6230937899366942327biblio-authors"/>
          <w:shd w:val="clear" w:color="auto" w:fill="FFFFFF"/>
        </w:rPr>
        <w:t>Navarrete, E., &amp; Costa A.</w:t>
      </w:r>
      <w:r w:rsidRPr="00F123D2">
        <w:rPr>
          <w:shd w:val="clear" w:color="auto" w:fill="FFFFFF"/>
        </w:rPr>
        <w:t> (2009).  </w:t>
      </w:r>
      <w:hyperlink r:id="rId30" w:tgtFrame="_blank" w:history="1">
        <w:r w:rsidRPr="00F123D2">
          <w:rPr>
            <w:rStyle w:val="Hyperlink"/>
            <w:color w:val="auto"/>
            <w:u w:val="none"/>
            <w:shd w:val="clear" w:color="auto" w:fill="FFFFFF"/>
          </w:rPr>
          <w:t>The naming of gender-marked pronouns supports interactivity in models of lexical access</w:t>
        </w:r>
      </w:hyperlink>
      <w:r w:rsidRPr="00F123D2">
        <w:rPr>
          <w:rStyle w:val="m6230937899366942327biblio-title"/>
          <w:shd w:val="clear" w:color="auto" w:fill="FFFFFF"/>
        </w:rPr>
        <w:t>. </w:t>
      </w:r>
      <w:r w:rsidRPr="00F123D2">
        <w:rPr>
          <w:i/>
          <w:iCs/>
          <w:shd w:val="clear" w:color="auto" w:fill="FFFFFF"/>
        </w:rPr>
        <w:t>Psicológica, 30,</w:t>
      </w:r>
      <w:r w:rsidRPr="00F123D2">
        <w:rPr>
          <w:shd w:val="clear" w:color="auto" w:fill="FFFFFF"/>
        </w:rPr>
        <w:t> 301–321.</w:t>
      </w:r>
    </w:p>
    <w:p w14:paraId="5B5A235D" w14:textId="77777777" w:rsidR="00C720F2" w:rsidRPr="00DD68C7" w:rsidRDefault="00C720F2" w:rsidP="00C720F2">
      <w:pPr>
        <w:ind w:left="720" w:hanging="720"/>
        <w:rPr>
          <w:u w:val="single"/>
          <w:shd w:val="clear" w:color="auto" w:fill="FFFFFF"/>
        </w:rPr>
      </w:pPr>
      <w:r w:rsidRPr="00DD68C7">
        <w:rPr>
          <w:shd w:val="clear" w:color="auto" w:fill="FFFFFF"/>
        </w:rPr>
        <w:t>Otheguy, R., Zentella, A.C., &amp; Livert, D. (2007). Language and dialect contact in Spanish in New York: Toward the formation of a speech community. </w:t>
      </w:r>
      <w:r w:rsidRPr="00DD68C7">
        <w:rPr>
          <w:i/>
          <w:iCs/>
          <w:shd w:val="clear" w:color="auto" w:fill="FFFFFF"/>
        </w:rPr>
        <w:t>Language,</w:t>
      </w:r>
      <w:r w:rsidRPr="00DD68C7">
        <w:rPr>
          <w:shd w:val="clear" w:color="auto" w:fill="FFFFFF"/>
        </w:rPr>
        <w:t> </w:t>
      </w:r>
      <w:r w:rsidRPr="00DD68C7">
        <w:rPr>
          <w:i/>
          <w:iCs/>
          <w:shd w:val="clear" w:color="auto" w:fill="FFFFFF"/>
        </w:rPr>
        <w:t>83</w:t>
      </w:r>
      <w:r w:rsidRPr="00DD68C7">
        <w:rPr>
          <w:shd w:val="clear" w:color="auto" w:fill="FFFFFF"/>
        </w:rPr>
        <w:t xml:space="preserve">, 770-802. doi: </w:t>
      </w:r>
      <w:hyperlink r:id="rId31" w:history="1">
        <w:r w:rsidRPr="00DD68C7">
          <w:rPr>
            <w:rStyle w:val="Hyperlink"/>
            <w:color w:val="auto"/>
            <w:u w:val="none"/>
            <w:shd w:val="clear" w:color="auto" w:fill="FFFFFF"/>
          </w:rPr>
          <w:t>10.1353/lan.2008.0019</w:t>
        </w:r>
      </w:hyperlink>
    </w:p>
    <w:p w14:paraId="2C0B9AC7" w14:textId="77777777" w:rsidR="00C720F2" w:rsidRPr="00DD68C7" w:rsidRDefault="00C720F2" w:rsidP="00C720F2">
      <w:pPr>
        <w:ind w:left="720" w:hanging="720"/>
        <w:rPr>
          <w:lang w:val="en-US"/>
        </w:rPr>
      </w:pPr>
      <w:r w:rsidRPr="00DD68C7">
        <w:rPr>
          <w:shd w:val="clear" w:color="auto" w:fill="FFFFFF"/>
        </w:rPr>
        <w:t>Pešková, A. (2013). Experimenting with pro-drop in Spanish. </w:t>
      </w:r>
      <w:r w:rsidRPr="00DD68C7">
        <w:rPr>
          <w:i/>
          <w:iCs/>
          <w:shd w:val="clear" w:color="auto" w:fill="FFFFFF"/>
        </w:rPr>
        <w:t>SKY Journal of Linguistics</w:t>
      </w:r>
      <w:r w:rsidRPr="00DD68C7">
        <w:rPr>
          <w:shd w:val="clear" w:color="auto" w:fill="FFFFFF"/>
        </w:rPr>
        <w:t xml:space="preserve">, </w:t>
      </w:r>
      <w:r w:rsidRPr="00DD68C7">
        <w:rPr>
          <w:i/>
          <w:iCs/>
          <w:shd w:val="clear" w:color="auto" w:fill="FFFFFF"/>
        </w:rPr>
        <w:t>26</w:t>
      </w:r>
      <w:r w:rsidRPr="00DD68C7">
        <w:rPr>
          <w:shd w:val="clear" w:color="auto" w:fill="FFFFFF"/>
        </w:rPr>
        <w:t>, 117-149.</w:t>
      </w:r>
      <w:r w:rsidRPr="00DD68C7">
        <w:t xml:space="preserve"> </w:t>
      </w:r>
    </w:p>
    <w:p w14:paraId="543D7EA9" w14:textId="77777777" w:rsidR="00C720F2" w:rsidRPr="00DD68C7" w:rsidRDefault="00C720F2" w:rsidP="00C720F2">
      <w:pPr>
        <w:ind w:left="720" w:hanging="720"/>
      </w:pPr>
      <w:r w:rsidRPr="00DD68C7">
        <w:t>Rohde, H., &amp; Kehler, A. (2014). Grammatical and information-structural influences on pronoun production</w:t>
      </w:r>
      <w:r w:rsidRPr="00DD68C7">
        <w:rPr>
          <w:i/>
          <w:iCs/>
        </w:rPr>
        <w:t>. Language, Cognition, and Neuroscience</w:t>
      </w:r>
      <w:r w:rsidRPr="00DD68C7">
        <w:t xml:space="preserve">, </w:t>
      </w:r>
      <w:r w:rsidRPr="00DD68C7">
        <w:rPr>
          <w:i/>
          <w:iCs/>
        </w:rPr>
        <w:t>29</w:t>
      </w:r>
      <w:r w:rsidRPr="00DD68C7">
        <w:t xml:space="preserve">, 1-16. </w:t>
      </w:r>
      <w:hyperlink r:id="rId32">
        <w:r w:rsidRPr="00DD68C7">
          <w:rPr>
            <w:rStyle w:val="Hyperlink"/>
            <w:color w:val="auto"/>
            <w:u w:val="none"/>
          </w:rPr>
          <w:t>http://dx.doi.org/10.1080/01690965.2013.854918</w:t>
        </w:r>
      </w:hyperlink>
    </w:p>
    <w:p w14:paraId="56310657" w14:textId="77777777" w:rsidR="00C720F2" w:rsidRPr="00DD68C7" w:rsidRDefault="00C720F2" w:rsidP="00C720F2">
      <w:pPr>
        <w:ind w:left="720" w:hanging="720"/>
        <w:rPr>
          <w:rStyle w:val="apple-converted-space"/>
          <w:shd w:val="clear" w:color="auto" w:fill="FFFFFF"/>
        </w:rPr>
      </w:pPr>
      <w:r w:rsidRPr="00DD68C7">
        <w:rPr>
          <w:shd w:val="clear" w:color="auto" w:fill="FFFFFF"/>
        </w:rPr>
        <w:t>Rosa, E. C., &amp; Arnold, J. E. (2017). Predictability affects production: Thematic roles can affect reference form selection.</w:t>
      </w:r>
      <w:r w:rsidRPr="00DD68C7">
        <w:rPr>
          <w:i/>
          <w:iCs/>
          <w:shd w:val="clear" w:color="auto" w:fill="FFFFFF"/>
        </w:rPr>
        <w:t xml:space="preserve"> Journal of Memory and Language</w:t>
      </w:r>
      <w:r w:rsidRPr="00DD68C7">
        <w:rPr>
          <w:shd w:val="clear" w:color="auto" w:fill="FFFFFF"/>
        </w:rPr>
        <w:t xml:space="preserve">, </w:t>
      </w:r>
      <w:r w:rsidRPr="00DD68C7">
        <w:rPr>
          <w:i/>
          <w:iCs/>
          <w:shd w:val="clear" w:color="auto" w:fill="FFFFFF"/>
        </w:rPr>
        <w:t>94,</w:t>
      </w:r>
      <w:r w:rsidRPr="00DD68C7">
        <w:rPr>
          <w:shd w:val="clear" w:color="auto" w:fill="FFFFFF"/>
        </w:rPr>
        <w:t xml:space="preserve"> 43-60. doi: 10.1016/j.jml.2016.07.007</w:t>
      </w:r>
      <w:r w:rsidRPr="00DD68C7">
        <w:rPr>
          <w:rStyle w:val="apple-converted-space"/>
          <w:shd w:val="clear" w:color="auto" w:fill="FFFFFF"/>
        </w:rPr>
        <w:t> </w:t>
      </w:r>
    </w:p>
    <w:p w14:paraId="31CD157E" w14:textId="77777777" w:rsidR="00C720F2" w:rsidRPr="00DD68C7" w:rsidRDefault="00C720F2" w:rsidP="00C720F2">
      <w:pPr>
        <w:shd w:val="clear" w:color="auto" w:fill="FFFFFF" w:themeFill="background1"/>
        <w:ind w:left="720" w:hanging="720"/>
        <w:rPr>
          <w:lang w:eastAsia="it-IT" w:bidi="bn-BD"/>
        </w:rPr>
      </w:pPr>
      <w:r w:rsidRPr="00DD68C7">
        <w:rPr>
          <w:shd w:val="clear" w:color="auto" w:fill="FFFFFF"/>
        </w:rPr>
        <w:t xml:space="preserve">Sainzmaza-Lecanda, L., &amp; Schwenter, S.A. (2017). Null objects with and without bilingualism in the Portuguese-and Spanish-speaking world. In K. Bellami, M. Child, P. </w:t>
      </w:r>
      <w:r w:rsidRPr="00DD68C7">
        <w:rPr>
          <w:bdr w:val="none" w:sz="0" w:space="0" w:color="auto" w:frame="1"/>
          <w:lang w:eastAsia="it-IT" w:bidi="bn-BD"/>
        </w:rPr>
        <w:t>González, A. Mutendam, &amp; M. C. Parafita Couto (Eds.),</w:t>
      </w:r>
      <w:r w:rsidRPr="00DD68C7">
        <w:rPr>
          <w:lang w:eastAsia="it-IT" w:bidi="bn-BD"/>
        </w:rPr>
        <w:t xml:space="preserve"> </w:t>
      </w:r>
      <w:r w:rsidRPr="00DD68C7">
        <w:rPr>
          <w:i/>
          <w:iCs/>
          <w:lang w:eastAsia="it-IT" w:bidi="bn-BD"/>
        </w:rPr>
        <w:t xml:space="preserve">Issues in Hispanic and lusophone linguistics </w:t>
      </w:r>
      <w:r w:rsidRPr="00DD68C7">
        <w:rPr>
          <w:lang w:eastAsia="it-IT" w:bidi="bn-BD"/>
        </w:rPr>
        <w:t>(Vol. 13, pp. 95-113). Amsterdam/Philadelphia: John Benjamins.</w:t>
      </w:r>
    </w:p>
    <w:p w14:paraId="23BE4D1B" w14:textId="77777777" w:rsidR="00C720F2" w:rsidRPr="00DD68C7" w:rsidRDefault="00C720F2" w:rsidP="00C720F2">
      <w:pPr>
        <w:tabs>
          <w:tab w:val="left" w:pos="360"/>
        </w:tabs>
        <w:ind w:left="720" w:hanging="720"/>
      </w:pPr>
      <w:r w:rsidRPr="00DD68C7">
        <w:rPr>
          <w:shd w:val="clear" w:color="auto" w:fill="FFFFFF"/>
        </w:rPr>
        <w:t xml:space="preserve">Serratrice, L. (2008). Null and overt subjects at the syntax-discourse interface: Evidence from monolingual and bilingual language acquisition. </w:t>
      </w:r>
      <w:r w:rsidRPr="00DD68C7">
        <w:t xml:space="preserve">In van Kampen, J., Bauw, S. &amp; </w:t>
      </w:r>
      <w:r w:rsidRPr="00DD68C7">
        <w:lastRenderedPageBreak/>
        <w:t xml:space="preserve">Pinto, M. (Eds.), </w:t>
      </w:r>
      <w:r w:rsidRPr="00DD68C7">
        <w:rPr>
          <w:i/>
          <w:iCs/>
        </w:rPr>
        <w:t xml:space="preserve">LOT Occasional Series </w:t>
      </w:r>
      <w:r w:rsidRPr="00DD68C7">
        <w:t>(Vol. 8, pp. 181-200) Utrecht, the Netherlands: LOT.</w:t>
      </w:r>
    </w:p>
    <w:p w14:paraId="56A0BF7A" w14:textId="77777777" w:rsidR="00C720F2" w:rsidRDefault="00C720F2" w:rsidP="00C720F2">
      <w:pPr>
        <w:tabs>
          <w:tab w:val="left" w:pos="360"/>
        </w:tabs>
        <w:ind w:left="720" w:hanging="720"/>
        <w:rPr>
          <w:rStyle w:val="Hyperlink"/>
          <w:color w:val="auto"/>
          <w:u w:val="none"/>
        </w:rPr>
      </w:pPr>
      <w:r w:rsidRPr="00DD68C7">
        <w:t>Stevenson, R.J., Crawley R., &amp; Kleinman D. (1994). Thematic roles, focusing and the representation of events.</w:t>
      </w:r>
      <w:r w:rsidRPr="00DD68C7">
        <w:rPr>
          <w:i/>
          <w:iCs/>
        </w:rPr>
        <w:t xml:space="preserve"> Language and Cognitive Processes, 9</w:t>
      </w:r>
      <w:r w:rsidRPr="00DD68C7">
        <w:t xml:space="preserve">, 519–548. </w:t>
      </w:r>
      <w:hyperlink r:id="rId33" w:history="1">
        <w:r w:rsidRPr="00DD68C7">
          <w:rPr>
            <w:rStyle w:val="Hyperlink"/>
            <w:color w:val="auto"/>
            <w:u w:val="none"/>
          </w:rPr>
          <w:t>https://doi.org/10.1080/01690969408402130</w:t>
        </w:r>
      </w:hyperlink>
    </w:p>
    <w:p w14:paraId="6FDE8DC6" w14:textId="77777777" w:rsidR="00C720F2" w:rsidRPr="00B9070C" w:rsidRDefault="00C720F2" w:rsidP="00C720F2">
      <w:pPr>
        <w:tabs>
          <w:tab w:val="left" w:pos="360"/>
        </w:tabs>
        <w:ind w:left="720" w:hanging="720"/>
        <w:rPr>
          <w:lang w:val="en-US"/>
        </w:rPr>
      </w:pPr>
      <w:r w:rsidRPr="00B9070C">
        <w:rPr>
          <w:bCs/>
          <w:lang w:val="en-US"/>
        </w:rPr>
        <w:t>Torregrossa, J.</w:t>
      </w:r>
      <w:r w:rsidRPr="00B9070C">
        <w:rPr>
          <w:lang w:val="en-US"/>
        </w:rPr>
        <w:t xml:space="preserve">, Bongartz, C., Tsimpli, I. </w:t>
      </w:r>
      <w:r>
        <w:rPr>
          <w:lang w:val="en-US"/>
        </w:rPr>
        <w:t xml:space="preserve">(2015). </w:t>
      </w:r>
      <w:r w:rsidRPr="00B9070C">
        <w:rPr>
          <w:lang w:val="en-US"/>
        </w:rPr>
        <w:t xml:space="preserve">Testing accessibility: A cross-linguistic comparison of the syntax of referring expressions, extended abstract for the </w:t>
      </w:r>
      <w:r w:rsidRPr="00B9070C">
        <w:rPr>
          <w:i/>
          <w:iCs/>
          <w:lang w:val="en-US"/>
        </w:rPr>
        <w:t>Proceedings of the 89th Annual Meeting of the Linguistic Society of America</w:t>
      </w:r>
      <w:r>
        <w:rPr>
          <w:i/>
          <w:iCs/>
          <w:lang w:val="en-US"/>
        </w:rPr>
        <w:t>.</w:t>
      </w:r>
    </w:p>
    <w:p w14:paraId="47F1D8B2" w14:textId="75B96345" w:rsidR="00C720F2" w:rsidRDefault="00C720F2" w:rsidP="00C720F2">
      <w:pPr>
        <w:ind w:left="720" w:hanging="720"/>
        <w:rPr>
          <w:shd w:val="clear" w:color="auto" w:fill="FFFFFF"/>
        </w:rPr>
      </w:pPr>
      <w:r w:rsidRPr="00DD68C7">
        <w:rPr>
          <w:shd w:val="clear" w:color="auto" w:fill="FFFFFF"/>
        </w:rPr>
        <w:t>van Rij. J., van Rijn, H., &amp; Hendriks, P. (2012</w:t>
      </w:r>
      <w:r>
        <w:rPr>
          <w:shd w:val="clear" w:color="auto" w:fill="FFFFFF"/>
        </w:rPr>
        <w:t>, April</w:t>
      </w:r>
      <w:r w:rsidRPr="00DD68C7">
        <w:rPr>
          <w:shd w:val="clear" w:color="auto" w:fill="FFFFFF"/>
        </w:rPr>
        <w:t xml:space="preserve">). How WM load influences pronoun interpretation. In N. Rußwinkel, U. Drewitz &amp; H. van Rijn (Eds.) </w:t>
      </w:r>
      <w:r w:rsidRPr="00DD68C7">
        <w:rPr>
          <w:i/>
          <w:iCs/>
          <w:shd w:val="clear" w:color="auto" w:fill="FFFFFF"/>
        </w:rPr>
        <w:t>Proceedings of the 11th International Conference on Cognitive Modeling</w:t>
      </w:r>
      <w:r w:rsidRPr="00DD68C7">
        <w:rPr>
          <w:shd w:val="clear" w:color="auto" w:fill="FFFFFF"/>
        </w:rPr>
        <w:t>. Paper presented at the 11</w:t>
      </w:r>
      <w:r w:rsidRPr="00DD68C7">
        <w:rPr>
          <w:shd w:val="clear" w:color="auto" w:fill="FFFFFF"/>
          <w:vertAlign w:val="superscript"/>
        </w:rPr>
        <w:t>th</w:t>
      </w:r>
      <w:r w:rsidRPr="00DD68C7">
        <w:rPr>
          <w:shd w:val="clear" w:color="auto" w:fill="FFFFFF"/>
        </w:rPr>
        <w:t xml:space="preserve"> International Conference on Cognitive Modeling, Universitaetsverlag der TU Berlin, Berlin, Germany.</w:t>
      </w:r>
    </w:p>
    <w:p w14:paraId="101F217A" w14:textId="77777777" w:rsidR="007809D6" w:rsidRPr="007809D6" w:rsidRDefault="007809D6" w:rsidP="007809D6">
      <w:pPr>
        <w:ind w:left="720" w:hanging="720"/>
        <w:rPr>
          <w:bCs/>
          <w:shd w:val="clear" w:color="auto" w:fill="FFFFFF"/>
          <w:lang w:val="en-US"/>
        </w:rPr>
      </w:pPr>
      <w:r w:rsidRPr="007809D6">
        <w:rPr>
          <w:bCs/>
          <w:shd w:val="clear" w:color="auto" w:fill="FFFFFF"/>
          <w:lang w:val="en-US"/>
        </w:rPr>
        <w:t xml:space="preserve">Weatherford, K., &amp; Arnold, J. E. (2021). Semantic predictability of implicit causality can affect referential form choice. </w:t>
      </w:r>
      <w:r w:rsidRPr="007809D6">
        <w:rPr>
          <w:bCs/>
          <w:i/>
          <w:iCs/>
          <w:shd w:val="clear" w:color="auto" w:fill="FFFFFF"/>
          <w:lang w:val="en-US"/>
        </w:rPr>
        <w:t>Cognition</w:t>
      </w:r>
      <w:r w:rsidRPr="007809D6">
        <w:rPr>
          <w:bCs/>
          <w:shd w:val="clear" w:color="auto" w:fill="FFFFFF"/>
          <w:lang w:val="en-US"/>
        </w:rPr>
        <w:t>, 214, 104759. DOI:  https://doi.org/10.1016/j.cognition.2021.104759</w:t>
      </w:r>
    </w:p>
    <w:p w14:paraId="2412F092" w14:textId="77777777" w:rsidR="00C720F2" w:rsidRPr="00891252" w:rsidRDefault="00C720F2" w:rsidP="00C720F2">
      <w:pPr>
        <w:ind w:left="720" w:hanging="720"/>
        <w:rPr>
          <w:lang w:val="en-US"/>
        </w:rPr>
      </w:pPr>
      <w:r w:rsidRPr="00891252">
        <w:rPr>
          <w:lang w:val="en-US"/>
        </w:rPr>
        <w:t>Zerkle, S., Rosa, E. C. &amp; Arnold, J. E. (2015</w:t>
      </w:r>
      <w:r>
        <w:rPr>
          <w:lang w:val="en-US"/>
        </w:rPr>
        <w:t>, March</w:t>
      </w:r>
      <w:r w:rsidRPr="00891252">
        <w:rPr>
          <w:lang w:val="en-US"/>
        </w:rPr>
        <w:t>). Do addressee gestures influence predictability of spoken reference form?</w:t>
      </w:r>
      <w:r w:rsidRPr="00DD68C7">
        <w:rPr>
          <w:i/>
          <w:iCs/>
        </w:rPr>
        <w:t xml:space="preserve"> </w:t>
      </w:r>
      <w:r>
        <w:t>Poster presented at the 28</w:t>
      </w:r>
      <w:r w:rsidRPr="00DD68C7">
        <w:rPr>
          <w:vertAlign w:val="superscript"/>
        </w:rPr>
        <w:t>th</w:t>
      </w:r>
      <w:r w:rsidRPr="00DD68C7">
        <w:t xml:space="preserve"> Annual CUNY conference on Human Sentence Processing,</w:t>
      </w:r>
      <w:r>
        <w:rPr>
          <w:lang w:val="en-US"/>
        </w:rPr>
        <w:t xml:space="preserve"> </w:t>
      </w:r>
      <w:r w:rsidRPr="00891252">
        <w:rPr>
          <w:lang w:val="en-US"/>
        </w:rPr>
        <w:t>Los Angeles, CA.</w:t>
      </w:r>
    </w:p>
    <w:p w14:paraId="05A3C498" w14:textId="77777777" w:rsidR="00C720F2" w:rsidRDefault="00C720F2" w:rsidP="00C720F2">
      <w:pPr>
        <w:ind w:left="720" w:hanging="720"/>
        <w:rPr>
          <w:shd w:val="clear" w:color="auto" w:fill="FFFFFF"/>
        </w:rPr>
      </w:pPr>
      <w:r w:rsidRPr="00FF08FF">
        <w:rPr>
          <w:shd w:val="clear" w:color="auto" w:fill="FFFFFF"/>
        </w:rPr>
        <w:t>Zerkle, S., &amp; Arnold, J. E. (2017</w:t>
      </w:r>
      <w:r>
        <w:rPr>
          <w:shd w:val="clear" w:color="auto" w:fill="FFFFFF"/>
        </w:rPr>
        <w:t>a</w:t>
      </w:r>
      <w:r w:rsidRPr="00FF08FF">
        <w:rPr>
          <w:shd w:val="clear" w:color="auto" w:fill="FFFFFF"/>
        </w:rPr>
        <w:t>). Discourse attention during utterance planning affects referent</w:t>
      </w:r>
      <w:r w:rsidRPr="00CA329E">
        <w:rPr>
          <w:shd w:val="clear" w:color="auto" w:fill="FFFFFF"/>
        </w:rPr>
        <w:t xml:space="preserve">ial form choice. </w:t>
      </w:r>
      <w:r w:rsidRPr="00CA329E">
        <w:rPr>
          <w:i/>
          <w:iCs/>
          <w:shd w:val="clear" w:color="auto" w:fill="FFFFFF"/>
        </w:rPr>
        <w:t>Linguistics Vanguard, 2</w:t>
      </w:r>
      <w:r w:rsidRPr="00CA329E">
        <w:rPr>
          <w:shd w:val="clear" w:color="auto" w:fill="FFFFFF"/>
        </w:rPr>
        <w:t xml:space="preserve">(S1). </w:t>
      </w:r>
      <w:hyperlink r:id="rId34" w:history="1">
        <w:r w:rsidRPr="00CA329E">
          <w:rPr>
            <w:rStyle w:val="Hyperlink"/>
            <w:color w:val="auto"/>
            <w:u w:val="none"/>
            <w:shd w:val="clear" w:color="auto" w:fill="FFFFFF"/>
          </w:rPr>
          <w:t>https://doi.org/10.1515/lingvan-2016-0067</w:t>
        </w:r>
      </w:hyperlink>
    </w:p>
    <w:p w14:paraId="0FFF8289" w14:textId="1DAAB051" w:rsidR="00C720F2" w:rsidRDefault="00C720F2" w:rsidP="00C720F2">
      <w:pPr>
        <w:ind w:left="720" w:hanging="720"/>
        <w:rPr>
          <w:rStyle w:val="Hyperlink"/>
          <w:color w:val="auto"/>
          <w:u w:val="none"/>
          <w:bdr w:val="none" w:sz="0" w:space="0" w:color="auto" w:frame="1"/>
          <w:shd w:val="clear" w:color="auto" w:fill="FFFFFF"/>
        </w:rPr>
      </w:pPr>
      <w:r w:rsidRPr="00CA329E">
        <w:rPr>
          <w:shd w:val="clear" w:color="auto" w:fill="FFFFFF"/>
        </w:rPr>
        <w:t>Zerkle, S., Rosa, E. C., &amp; Arnold, J. E. (2017</w:t>
      </w:r>
      <w:r w:rsidR="00676DF7">
        <w:rPr>
          <w:shd w:val="clear" w:color="auto" w:fill="FFFFFF"/>
        </w:rPr>
        <w:t>b</w:t>
      </w:r>
      <w:r w:rsidRPr="00CA329E">
        <w:rPr>
          <w:shd w:val="clear" w:color="auto" w:fill="FFFFFF"/>
        </w:rPr>
        <w:t xml:space="preserve">). Thematic role predictability and planning affect word duration. </w:t>
      </w:r>
      <w:r w:rsidRPr="00CA329E">
        <w:rPr>
          <w:i/>
          <w:iCs/>
          <w:shd w:val="clear" w:color="auto" w:fill="FFFFFF"/>
        </w:rPr>
        <w:t>Laboratory Phonology: Journal of the Association for Laboratory Phonology, 8</w:t>
      </w:r>
      <w:r w:rsidRPr="00CA329E">
        <w:rPr>
          <w:shd w:val="clear" w:color="auto" w:fill="FFFFFF"/>
        </w:rPr>
        <w:t>, 1-28. doi: </w:t>
      </w:r>
      <w:hyperlink r:id="rId35" w:history="1">
        <w:r w:rsidRPr="00CA329E">
          <w:rPr>
            <w:rStyle w:val="Hyperlink"/>
            <w:color w:val="auto"/>
            <w:u w:val="none"/>
            <w:bdr w:val="none" w:sz="0" w:space="0" w:color="auto" w:frame="1"/>
            <w:shd w:val="clear" w:color="auto" w:fill="FFFFFF"/>
          </w:rPr>
          <w:t>http://doi.org/10.5334/labphon.98</w:t>
        </w:r>
      </w:hyperlink>
    </w:p>
    <w:p w14:paraId="3BB37B35" w14:textId="6692DDFB" w:rsidR="00AC1240" w:rsidRDefault="00AC1240" w:rsidP="00C720F2">
      <w:pPr>
        <w:ind w:left="720" w:hanging="720"/>
        <w:rPr>
          <w:rFonts w:ascii="Times" w:hAnsi="Times"/>
          <w:i/>
        </w:rPr>
      </w:pPr>
      <w:r w:rsidRPr="00AD4F2E">
        <w:rPr>
          <w:rFonts w:ascii="Times" w:hAnsi="Times"/>
        </w:rPr>
        <w:lastRenderedPageBreak/>
        <w:t xml:space="preserve">Zerkle, S. &amp; Arnold, J. E. (2019). Does planning explain why predictability affects reference production? </w:t>
      </w:r>
      <w:r w:rsidRPr="00AD4F2E">
        <w:rPr>
          <w:rFonts w:ascii="Times" w:hAnsi="Times"/>
          <w:i/>
        </w:rPr>
        <w:t xml:space="preserve">Dialogue and Discourse, 10(2), </w:t>
      </w:r>
      <w:r w:rsidRPr="00AD4F2E">
        <w:rPr>
          <w:rFonts w:ascii="Times" w:hAnsi="Times"/>
        </w:rPr>
        <w:t>34-55</w:t>
      </w:r>
      <w:r w:rsidRPr="00AD4F2E">
        <w:rPr>
          <w:rFonts w:ascii="Times" w:hAnsi="Times"/>
          <w:i/>
        </w:rPr>
        <w:t>.</w:t>
      </w:r>
    </w:p>
    <w:p w14:paraId="2B5AE50A" w14:textId="591177F7" w:rsidR="00EC4234" w:rsidRDefault="00EC4234" w:rsidP="00C720F2">
      <w:pPr>
        <w:ind w:left="720" w:hanging="720"/>
        <w:rPr>
          <w:rStyle w:val="Hyperlink"/>
          <w:color w:val="auto"/>
          <w:u w:val="none"/>
        </w:rPr>
      </w:pPr>
    </w:p>
    <w:p w14:paraId="0E341593" w14:textId="77777777" w:rsidR="00EC4234" w:rsidRPr="00DD68C7" w:rsidRDefault="00EC4234" w:rsidP="00C720F2">
      <w:pPr>
        <w:ind w:left="720" w:hanging="720"/>
        <w:rPr>
          <w:rStyle w:val="Hyperlink"/>
          <w:color w:val="auto"/>
          <w:u w:val="none"/>
        </w:rPr>
      </w:pPr>
    </w:p>
    <w:p w14:paraId="56A7C8C2" w14:textId="77777777" w:rsidR="00934C9A" w:rsidRDefault="00934C9A">
      <w:pPr>
        <w:spacing w:line="240" w:lineRule="auto"/>
        <w:rPr>
          <w:rFonts w:ascii="Times" w:eastAsiaTheme="minorEastAsia" w:hAnsi="Times" w:cstheme="minorHAnsi"/>
          <w:color w:val="000000" w:themeColor="text1"/>
          <w:lang w:val="en-US" w:eastAsia="nl-NL"/>
        </w:rPr>
      </w:pPr>
      <w:r>
        <w:rPr>
          <w:rFonts w:ascii="Times" w:eastAsiaTheme="minorEastAsia" w:hAnsi="Times" w:cstheme="minorHAnsi"/>
          <w:b/>
          <w:bCs/>
          <w:color w:val="000000" w:themeColor="text1"/>
          <w:lang w:val="en-US" w:eastAsia="nl-NL"/>
        </w:rPr>
        <w:br w:type="page"/>
      </w:r>
    </w:p>
    <w:p w14:paraId="28400ADA" w14:textId="704D0AE4" w:rsidR="008615B4" w:rsidRDefault="008615B4" w:rsidP="00340F6E">
      <w:pPr>
        <w:pStyle w:val="Heading1"/>
      </w:pPr>
      <w:r w:rsidRPr="2EBC3AA5">
        <w:lastRenderedPageBreak/>
        <w:t xml:space="preserve">Appendix </w:t>
      </w:r>
    </w:p>
    <w:p w14:paraId="7052BF73" w14:textId="318791A5" w:rsidR="00A35A5B" w:rsidRPr="00A35A5B" w:rsidRDefault="008615B4" w:rsidP="00A35A5B">
      <w:pPr>
        <w:pStyle w:val="Heading2"/>
        <w:rPr>
          <w:rFonts w:cs="Times New Roman"/>
          <w:i w:val="0"/>
        </w:rPr>
      </w:pPr>
      <w:r w:rsidRPr="00811AA8">
        <w:rPr>
          <w:rFonts w:cs="Times New Roman"/>
        </w:rPr>
        <w:t xml:space="preserve">Experiment 1 </w:t>
      </w:r>
      <w:r w:rsidRPr="00A35A5B">
        <w:rPr>
          <w:rFonts w:cs="Times New Roman"/>
        </w:rPr>
        <w:t xml:space="preserve">Models </w:t>
      </w:r>
    </w:p>
    <w:p w14:paraId="0EF4B003" w14:textId="0871E20D" w:rsidR="008615B4" w:rsidRPr="00A35A5B" w:rsidRDefault="00C720F2" w:rsidP="001E51A1">
      <w:pPr>
        <w:keepNext/>
      </w:pPr>
      <w:r w:rsidRPr="00A35A5B">
        <w:rPr>
          <w:i/>
          <w:iCs/>
        </w:rPr>
        <w:t xml:space="preserve">Table </w:t>
      </w:r>
      <w:r w:rsidR="004D0DF6">
        <w:rPr>
          <w:i/>
          <w:iCs/>
        </w:rPr>
        <w:t>6</w:t>
      </w:r>
      <w:r w:rsidRPr="00A35A5B">
        <w:t xml:space="preserve">. </w:t>
      </w:r>
      <w:r w:rsidR="00EB7437">
        <w:t xml:space="preserve">Experiment 1: </w:t>
      </w:r>
      <w:r w:rsidRPr="00A35A5B">
        <w:t>Name/description rate model</w:t>
      </w:r>
    </w:p>
    <w:tbl>
      <w:tblPr>
        <w:tblStyle w:val="TableGrid"/>
        <w:tblpPr w:leftFromText="141" w:rightFromText="141" w:vertAnchor="text" w:tblpY="1"/>
        <w:tblW w:w="9000" w:type="dxa"/>
        <w:tblLook w:val="04A0" w:firstRow="1" w:lastRow="0" w:firstColumn="1" w:lastColumn="0" w:noHBand="0" w:noVBand="1"/>
      </w:tblPr>
      <w:tblGrid>
        <w:gridCol w:w="2520"/>
        <w:gridCol w:w="2160"/>
        <w:gridCol w:w="2160"/>
        <w:gridCol w:w="2160"/>
      </w:tblGrid>
      <w:tr w:rsidR="008615B4" w:rsidRPr="00A35A5B" w14:paraId="49FB22C6" w14:textId="77777777" w:rsidTr="00050370">
        <w:trPr>
          <w:trHeight w:val="317"/>
        </w:trPr>
        <w:tc>
          <w:tcPr>
            <w:tcW w:w="2520" w:type="dxa"/>
            <w:hideMark/>
          </w:tcPr>
          <w:p w14:paraId="5C111F08" w14:textId="77777777" w:rsidR="008615B4" w:rsidRPr="00A35A5B" w:rsidRDefault="008615B4" w:rsidP="00C03E1C">
            <w:pPr>
              <w:keepNext/>
              <w:spacing w:line="240" w:lineRule="auto"/>
              <w:rPr>
                <w:rFonts w:ascii="Times New Roman" w:hAnsi="Times New Roman" w:cs="Times New Roman"/>
                <w:b/>
                <w:bCs/>
                <w:lang w:val="it-IT"/>
              </w:rPr>
            </w:pPr>
            <w:r w:rsidRPr="00A35A5B">
              <w:rPr>
                <w:rFonts w:ascii="Times New Roman" w:hAnsi="Times New Roman" w:cs="Times New Roman"/>
                <w:b/>
                <w:bCs/>
              </w:rPr>
              <w:t>Effect</w:t>
            </w:r>
          </w:p>
        </w:tc>
        <w:tc>
          <w:tcPr>
            <w:tcW w:w="2160" w:type="dxa"/>
            <w:hideMark/>
          </w:tcPr>
          <w:p w14:paraId="17E05BBD" w14:textId="0B353328" w:rsidR="008615B4" w:rsidRPr="00A35A5B" w:rsidRDefault="008615B4" w:rsidP="00C03E1C">
            <w:pPr>
              <w:keepNext/>
              <w:spacing w:line="240" w:lineRule="auto"/>
              <w:rPr>
                <w:rFonts w:ascii="Times New Roman" w:hAnsi="Times New Roman" w:cs="Times New Roman"/>
                <w:b/>
                <w:bCs/>
              </w:rPr>
            </w:pPr>
            <w:r w:rsidRPr="00A35A5B">
              <w:rPr>
                <w:rFonts w:ascii="Times New Roman" w:hAnsi="Times New Roman" w:cs="Times New Roman"/>
                <w:b/>
                <w:bCs/>
              </w:rPr>
              <w:t>Estimate (Standard Error)</w:t>
            </w:r>
          </w:p>
        </w:tc>
        <w:tc>
          <w:tcPr>
            <w:tcW w:w="2160" w:type="dxa"/>
            <w:hideMark/>
          </w:tcPr>
          <w:p w14:paraId="152C0F5F" w14:textId="77777777" w:rsidR="008615B4" w:rsidRPr="00A35A5B" w:rsidRDefault="008615B4" w:rsidP="00C03E1C">
            <w:pPr>
              <w:keepNext/>
              <w:rPr>
                <w:rFonts w:ascii="Times New Roman" w:hAnsi="Times New Roman" w:cs="Times New Roman"/>
                <w:b/>
                <w:bCs/>
              </w:rPr>
            </w:pPr>
            <w:r w:rsidRPr="00A35A5B">
              <w:rPr>
                <w:rFonts w:ascii="Times New Roman" w:hAnsi="Times New Roman" w:cs="Times New Roman"/>
                <w:b/>
                <w:bCs/>
              </w:rPr>
              <w:t>t Value</w:t>
            </w:r>
          </w:p>
        </w:tc>
        <w:tc>
          <w:tcPr>
            <w:tcW w:w="2160" w:type="dxa"/>
            <w:hideMark/>
          </w:tcPr>
          <w:p w14:paraId="56565B58" w14:textId="77777777" w:rsidR="008615B4" w:rsidRPr="00A35A5B" w:rsidRDefault="008615B4" w:rsidP="00C03E1C">
            <w:pPr>
              <w:keepNext/>
              <w:rPr>
                <w:rFonts w:ascii="Times New Roman" w:hAnsi="Times New Roman" w:cs="Times New Roman"/>
                <w:b/>
                <w:bCs/>
              </w:rPr>
            </w:pPr>
            <w:r w:rsidRPr="00A35A5B">
              <w:rPr>
                <w:rFonts w:ascii="Times New Roman" w:hAnsi="Times New Roman" w:cs="Times New Roman"/>
                <w:b/>
                <w:bCs/>
              </w:rPr>
              <w:t>Pr &gt; |t|</w:t>
            </w:r>
          </w:p>
        </w:tc>
      </w:tr>
      <w:tr w:rsidR="008615B4" w:rsidRPr="00A35A5B" w14:paraId="49DCB333" w14:textId="77777777" w:rsidTr="00050370">
        <w:trPr>
          <w:trHeight w:val="317"/>
        </w:trPr>
        <w:tc>
          <w:tcPr>
            <w:tcW w:w="2520" w:type="dxa"/>
            <w:hideMark/>
          </w:tcPr>
          <w:p w14:paraId="4271DDAC" w14:textId="77777777" w:rsidR="008615B4" w:rsidRPr="00A35A5B" w:rsidRDefault="008615B4" w:rsidP="00C03E1C">
            <w:pPr>
              <w:keepNext/>
              <w:rPr>
                <w:rFonts w:ascii="Times New Roman" w:hAnsi="Times New Roman" w:cs="Times New Roman"/>
                <w:b/>
                <w:bCs/>
                <w:color w:val="000000" w:themeColor="text1"/>
              </w:rPr>
            </w:pPr>
            <w:r w:rsidRPr="00A35A5B">
              <w:rPr>
                <w:rFonts w:ascii="Times New Roman" w:hAnsi="Times New Roman" w:cs="Times New Roman"/>
                <w:b/>
                <w:bCs/>
                <w:color w:val="000000" w:themeColor="text1"/>
              </w:rPr>
              <w:t>subject continuation</w:t>
            </w:r>
          </w:p>
        </w:tc>
        <w:tc>
          <w:tcPr>
            <w:tcW w:w="2160" w:type="dxa"/>
            <w:hideMark/>
          </w:tcPr>
          <w:p w14:paraId="2551DDDC" w14:textId="1F628309" w:rsidR="008615B4" w:rsidRPr="00A35A5B" w:rsidRDefault="00A80C6F" w:rsidP="00C03E1C">
            <w:pPr>
              <w:keepNext/>
              <w:jc w:val="right"/>
              <w:rPr>
                <w:rFonts w:ascii="Times New Roman" w:hAnsi="Times New Roman" w:cs="Times New Roman"/>
                <w:color w:val="000000"/>
              </w:rPr>
            </w:pPr>
            <w:r w:rsidRPr="00A35A5B">
              <w:rPr>
                <w:rFonts w:ascii="Times New Roman" w:hAnsi="Times New Roman" w:cs="Times New Roman"/>
                <w:color w:val="000000"/>
              </w:rPr>
              <w:t>-2.30 (0.28</w:t>
            </w:r>
            <w:r w:rsidR="00F010EE" w:rsidRPr="00A35A5B">
              <w:rPr>
                <w:rFonts w:ascii="Times New Roman" w:hAnsi="Times New Roman" w:cs="Times New Roman"/>
                <w:color w:val="000000"/>
              </w:rPr>
              <w:t>)</w:t>
            </w:r>
          </w:p>
        </w:tc>
        <w:tc>
          <w:tcPr>
            <w:tcW w:w="2160" w:type="dxa"/>
            <w:hideMark/>
          </w:tcPr>
          <w:p w14:paraId="50B91A9C" w14:textId="2149B056" w:rsidR="008615B4" w:rsidRPr="00A35A5B" w:rsidRDefault="00F010EE" w:rsidP="00C03E1C">
            <w:pPr>
              <w:keepNext/>
              <w:jc w:val="right"/>
              <w:rPr>
                <w:rFonts w:ascii="Times New Roman" w:hAnsi="Times New Roman" w:cs="Times New Roman"/>
                <w:color w:val="000000"/>
              </w:rPr>
            </w:pPr>
            <w:r w:rsidRPr="00A35A5B">
              <w:rPr>
                <w:rFonts w:ascii="Times New Roman" w:hAnsi="Times New Roman" w:cs="Times New Roman"/>
                <w:color w:val="000000"/>
              </w:rPr>
              <w:t>-8.08</w:t>
            </w:r>
          </w:p>
        </w:tc>
        <w:tc>
          <w:tcPr>
            <w:tcW w:w="2160" w:type="dxa"/>
            <w:hideMark/>
          </w:tcPr>
          <w:p w14:paraId="683EBCC5" w14:textId="22FE9255" w:rsidR="008615B4" w:rsidRPr="00A35A5B" w:rsidRDefault="00F010EE" w:rsidP="00C03E1C">
            <w:pPr>
              <w:keepNext/>
              <w:jc w:val="right"/>
              <w:rPr>
                <w:rFonts w:ascii="Times New Roman" w:hAnsi="Times New Roman" w:cs="Times New Roman"/>
                <w:color w:val="000000"/>
              </w:rPr>
            </w:pPr>
            <w:r w:rsidRPr="00A35A5B">
              <w:rPr>
                <w:rFonts w:ascii="Times New Roman" w:hAnsi="Times New Roman" w:cs="Times New Roman"/>
                <w:color w:val="000000"/>
              </w:rPr>
              <w:t>&lt;.0001</w:t>
            </w:r>
          </w:p>
        </w:tc>
      </w:tr>
      <w:tr w:rsidR="008615B4" w:rsidRPr="00A35A5B" w14:paraId="1EC2328F" w14:textId="77777777" w:rsidTr="00050370">
        <w:trPr>
          <w:trHeight w:val="317"/>
        </w:trPr>
        <w:tc>
          <w:tcPr>
            <w:tcW w:w="2520" w:type="dxa"/>
            <w:hideMark/>
          </w:tcPr>
          <w:p w14:paraId="32D37901" w14:textId="77777777" w:rsidR="008615B4" w:rsidRPr="00A35A5B" w:rsidRDefault="008615B4" w:rsidP="00C03E1C">
            <w:pPr>
              <w:keepNext/>
              <w:spacing w:line="240" w:lineRule="auto"/>
              <w:rPr>
                <w:rFonts w:ascii="Times New Roman" w:hAnsi="Times New Roman" w:cs="Times New Roman"/>
                <w:b/>
                <w:bCs/>
                <w:color w:val="000000" w:themeColor="text1"/>
              </w:rPr>
            </w:pPr>
            <w:r w:rsidRPr="00A35A5B">
              <w:rPr>
                <w:rFonts w:ascii="Times New Roman" w:hAnsi="Times New Roman" w:cs="Times New Roman"/>
                <w:b/>
                <w:bCs/>
                <w:color w:val="000000" w:themeColor="text1"/>
              </w:rPr>
              <w:t>goal continuation</w:t>
            </w:r>
          </w:p>
        </w:tc>
        <w:tc>
          <w:tcPr>
            <w:tcW w:w="2160" w:type="dxa"/>
            <w:hideMark/>
          </w:tcPr>
          <w:p w14:paraId="75D5EE28" w14:textId="5885F967" w:rsidR="008615B4" w:rsidRPr="00A35A5B" w:rsidRDefault="00C720F2"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-0.2</w:t>
            </w:r>
            <w:r w:rsidR="00EE647D">
              <w:rPr>
                <w:rFonts w:ascii="Times New Roman" w:hAnsi="Times New Roman" w:cs="Times New Roman"/>
                <w:color w:val="000000"/>
              </w:rPr>
              <w:t>5</w:t>
            </w:r>
            <w:r w:rsidRPr="00A35A5B">
              <w:rPr>
                <w:rFonts w:ascii="Times New Roman" w:hAnsi="Times New Roman" w:cs="Times New Roman"/>
                <w:color w:val="000000"/>
              </w:rPr>
              <w:t xml:space="preserve"> </w:t>
            </w:r>
            <w:r w:rsidR="00050370" w:rsidRPr="00A35A5B">
              <w:rPr>
                <w:rFonts w:ascii="Times New Roman" w:hAnsi="Times New Roman" w:cs="Times New Roman"/>
                <w:color w:val="000000"/>
              </w:rPr>
              <w:t>(0.31)</w:t>
            </w:r>
          </w:p>
        </w:tc>
        <w:tc>
          <w:tcPr>
            <w:tcW w:w="2160" w:type="dxa"/>
            <w:hideMark/>
          </w:tcPr>
          <w:p w14:paraId="30A84D47" w14:textId="77777777" w:rsidR="00F010EE" w:rsidRPr="00A35A5B" w:rsidRDefault="00F010EE"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-0.79</w:t>
            </w:r>
          </w:p>
          <w:p w14:paraId="2B1E69B8" w14:textId="082D36B9"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c>
          <w:tcPr>
            <w:tcW w:w="2160" w:type="dxa"/>
            <w:hideMark/>
          </w:tcPr>
          <w:p w14:paraId="722F198D" w14:textId="7C5AD58E" w:rsidR="00F010EE" w:rsidRPr="00A35A5B" w:rsidRDefault="00050370"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0.44</w:t>
            </w:r>
          </w:p>
          <w:p w14:paraId="48CA94FB" w14:textId="296555A9"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r>
      <w:tr w:rsidR="008615B4" w:rsidRPr="00A35A5B" w14:paraId="29757922" w14:textId="77777777" w:rsidTr="00050370">
        <w:trPr>
          <w:trHeight w:val="317"/>
        </w:trPr>
        <w:tc>
          <w:tcPr>
            <w:tcW w:w="2520" w:type="dxa"/>
            <w:hideMark/>
          </w:tcPr>
          <w:p w14:paraId="1B1A5578" w14:textId="1C6A2186" w:rsidR="008615B4" w:rsidRPr="00A35A5B" w:rsidRDefault="00722933" w:rsidP="00C03E1C">
            <w:pPr>
              <w:keepNext/>
              <w:spacing w:line="240" w:lineRule="auto"/>
              <w:rPr>
                <w:rFonts w:ascii="Times New Roman" w:hAnsi="Times New Roman" w:cs="Times New Roman"/>
                <w:b/>
                <w:bCs/>
                <w:color w:val="000000" w:themeColor="text1"/>
              </w:rPr>
            </w:pPr>
            <w:r w:rsidRPr="00A35A5B">
              <w:rPr>
                <w:rFonts w:ascii="Times New Roman" w:hAnsi="Times New Roman" w:cs="Times New Roman"/>
                <w:b/>
                <w:bCs/>
                <w:color w:val="000000" w:themeColor="text1"/>
              </w:rPr>
              <w:t>different</w:t>
            </w:r>
            <w:r w:rsidR="008615B4" w:rsidRPr="00A35A5B">
              <w:rPr>
                <w:rFonts w:ascii="Times New Roman" w:hAnsi="Times New Roman" w:cs="Times New Roman"/>
                <w:b/>
                <w:bCs/>
                <w:color w:val="000000" w:themeColor="text1"/>
              </w:rPr>
              <w:t xml:space="preserve"> gender </w:t>
            </w:r>
            <w:r w:rsidRPr="00A35A5B">
              <w:rPr>
                <w:rFonts w:ascii="Times New Roman" w:hAnsi="Times New Roman" w:cs="Times New Roman"/>
                <w:b/>
                <w:bCs/>
                <w:color w:val="000000" w:themeColor="text1"/>
              </w:rPr>
              <w:t>(vs. same gender)</w:t>
            </w:r>
          </w:p>
        </w:tc>
        <w:tc>
          <w:tcPr>
            <w:tcW w:w="2160" w:type="dxa"/>
            <w:hideMark/>
          </w:tcPr>
          <w:p w14:paraId="5C4D94F0" w14:textId="5A804165" w:rsidR="008615B4" w:rsidRPr="00A35A5B" w:rsidRDefault="00377E56"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w:t>
            </w:r>
            <w:r w:rsidR="00F010EE" w:rsidRPr="00A35A5B">
              <w:rPr>
                <w:rFonts w:ascii="Times New Roman" w:hAnsi="Times New Roman" w:cs="Times New Roman"/>
                <w:color w:val="000000"/>
              </w:rPr>
              <w:t>0</w:t>
            </w:r>
            <w:r w:rsidR="00C720F2" w:rsidRPr="00A35A5B">
              <w:rPr>
                <w:rFonts w:ascii="Times New Roman" w:hAnsi="Times New Roman" w:cs="Times New Roman"/>
                <w:color w:val="000000"/>
              </w:rPr>
              <w:t>.56 (0.31)</w:t>
            </w:r>
          </w:p>
        </w:tc>
        <w:tc>
          <w:tcPr>
            <w:tcW w:w="2160" w:type="dxa"/>
            <w:hideMark/>
          </w:tcPr>
          <w:p w14:paraId="445249F6" w14:textId="2FE30735" w:rsidR="00F010EE" w:rsidRPr="00A35A5B" w:rsidRDefault="00377E56"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w:t>
            </w:r>
            <w:r w:rsidR="00F010EE" w:rsidRPr="00A35A5B">
              <w:rPr>
                <w:rFonts w:ascii="Times New Roman" w:hAnsi="Times New Roman" w:cs="Times New Roman"/>
                <w:color w:val="000000"/>
              </w:rPr>
              <w:t>1.81</w:t>
            </w:r>
          </w:p>
          <w:p w14:paraId="2757ABCE" w14:textId="001D8969"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c>
          <w:tcPr>
            <w:tcW w:w="2160" w:type="dxa"/>
            <w:hideMark/>
          </w:tcPr>
          <w:p w14:paraId="6966D7E6" w14:textId="5F89365E" w:rsidR="008615B4" w:rsidRPr="00A35A5B" w:rsidRDefault="00050370" w:rsidP="00C03E1C">
            <w:pPr>
              <w:keepNext/>
              <w:spacing w:line="240" w:lineRule="auto"/>
              <w:jc w:val="right"/>
              <w:rPr>
                <w:rFonts w:ascii="Times New Roman" w:hAnsi="Times New Roman" w:cs="Times New Roman"/>
                <w:color w:val="000000" w:themeColor="text1"/>
              </w:rPr>
            </w:pPr>
            <w:r w:rsidRPr="00A35A5B">
              <w:rPr>
                <w:rFonts w:ascii="Times New Roman" w:hAnsi="Times New Roman" w:cs="Times New Roman"/>
                <w:color w:val="000000"/>
              </w:rPr>
              <w:t>0.09</w:t>
            </w:r>
          </w:p>
        </w:tc>
      </w:tr>
      <w:tr w:rsidR="008615B4" w:rsidRPr="00A35A5B" w14:paraId="6039E89A" w14:textId="77777777" w:rsidTr="00050370">
        <w:trPr>
          <w:trHeight w:val="317"/>
        </w:trPr>
        <w:tc>
          <w:tcPr>
            <w:tcW w:w="2520" w:type="dxa"/>
            <w:hideMark/>
          </w:tcPr>
          <w:p w14:paraId="1AB4DA61" w14:textId="50DCBB57" w:rsidR="008615B4" w:rsidRPr="00A35A5B" w:rsidRDefault="008615B4" w:rsidP="00C03E1C">
            <w:pPr>
              <w:keepNext/>
              <w:spacing w:line="240" w:lineRule="auto"/>
              <w:rPr>
                <w:rFonts w:ascii="Times New Roman" w:hAnsi="Times New Roman" w:cs="Times New Roman"/>
                <w:b/>
                <w:bCs/>
                <w:color w:val="000000" w:themeColor="text1"/>
              </w:rPr>
            </w:pPr>
            <w:r w:rsidRPr="00A35A5B">
              <w:rPr>
                <w:rFonts w:ascii="Times New Roman" w:hAnsi="Times New Roman" w:cs="Times New Roman"/>
                <w:b/>
                <w:bCs/>
                <w:color w:val="000000" w:themeColor="text1"/>
              </w:rPr>
              <w:t xml:space="preserve">subject*goal </w:t>
            </w:r>
          </w:p>
        </w:tc>
        <w:tc>
          <w:tcPr>
            <w:tcW w:w="2160" w:type="dxa"/>
            <w:hideMark/>
          </w:tcPr>
          <w:p w14:paraId="549DCC3D" w14:textId="0EB09E1E" w:rsidR="00F010EE" w:rsidRPr="00A35A5B" w:rsidRDefault="00C720F2"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0.5</w:t>
            </w:r>
            <w:r w:rsidR="00EE647D">
              <w:rPr>
                <w:rFonts w:ascii="Times New Roman" w:hAnsi="Times New Roman" w:cs="Times New Roman"/>
                <w:color w:val="000000"/>
              </w:rPr>
              <w:t>1</w:t>
            </w:r>
            <w:r w:rsidRPr="00A35A5B">
              <w:rPr>
                <w:rFonts w:ascii="Times New Roman" w:hAnsi="Times New Roman" w:cs="Times New Roman"/>
                <w:color w:val="000000"/>
              </w:rPr>
              <w:t xml:space="preserve"> </w:t>
            </w:r>
            <w:r w:rsidR="00F010EE" w:rsidRPr="00A35A5B">
              <w:rPr>
                <w:rFonts w:ascii="Times New Roman" w:hAnsi="Times New Roman" w:cs="Times New Roman"/>
                <w:color w:val="000000"/>
              </w:rPr>
              <w:t>(0.4</w:t>
            </w:r>
            <w:r w:rsidR="00EE647D">
              <w:rPr>
                <w:rFonts w:ascii="Times New Roman" w:hAnsi="Times New Roman" w:cs="Times New Roman"/>
                <w:color w:val="000000"/>
              </w:rPr>
              <w:t>4</w:t>
            </w:r>
            <w:r w:rsidR="00F010EE" w:rsidRPr="00A35A5B">
              <w:rPr>
                <w:rFonts w:ascii="Times New Roman" w:hAnsi="Times New Roman" w:cs="Times New Roman"/>
                <w:color w:val="000000"/>
              </w:rPr>
              <w:t>)</w:t>
            </w:r>
          </w:p>
          <w:p w14:paraId="272A8A97" w14:textId="39D97FE7"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c>
          <w:tcPr>
            <w:tcW w:w="2160" w:type="dxa"/>
            <w:hideMark/>
          </w:tcPr>
          <w:p w14:paraId="1C09DF22" w14:textId="77777777" w:rsidR="00F010EE" w:rsidRPr="00A35A5B" w:rsidRDefault="00F010EE"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1.16</w:t>
            </w:r>
          </w:p>
          <w:p w14:paraId="2613840C" w14:textId="7D1740CA"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c>
          <w:tcPr>
            <w:tcW w:w="2160" w:type="dxa"/>
            <w:hideMark/>
          </w:tcPr>
          <w:p w14:paraId="55474B20" w14:textId="766F17C5" w:rsidR="00F010EE" w:rsidRPr="00A35A5B" w:rsidRDefault="00050370"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0.26</w:t>
            </w:r>
          </w:p>
          <w:p w14:paraId="55BD74E2" w14:textId="5A6F44F3"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r>
      <w:tr w:rsidR="008615B4" w:rsidRPr="00A35A5B" w14:paraId="6AC1BA4E" w14:textId="77777777" w:rsidTr="00050370">
        <w:trPr>
          <w:trHeight w:val="317"/>
        </w:trPr>
        <w:tc>
          <w:tcPr>
            <w:tcW w:w="2520" w:type="dxa"/>
            <w:hideMark/>
          </w:tcPr>
          <w:p w14:paraId="5EF0D71E" w14:textId="77777777" w:rsidR="008615B4" w:rsidRPr="00A35A5B" w:rsidRDefault="008615B4" w:rsidP="00C03E1C">
            <w:pPr>
              <w:keepNext/>
              <w:spacing w:line="240" w:lineRule="auto"/>
              <w:rPr>
                <w:rFonts w:ascii="Times New Roman" w:hAnsi="Times New Roman" w:cs="Times New Roman"/>
                <w:b/>
                <w:bCs/>
                <w:color w:val="000000" w:themeColor="text1"/>
              </w:rPr>
            </w:pPr>
            <w:r w:rsidRPr="00A35A5B">
              <w:rPr>
                <w:rFonts w:ascii="Times New Roman" w:hAnsi="Times New Roman" w:cs="Times New Roman"/>
                <w:b/>
                <w:bCs/>
                <w:color w:val="000000" w:themeColor="text1"/>
              </w:rPr>
              <w:t>goal*same gender</w:t>
            </w:r>
          </w:p>
          <w:p w14:paraId="289D485E" w14:textId="248821B9" w:rsidR="002C5AA6" w:rsidRPr="00A35A5B" w:rsidRDefault="002C5AA6" w:rsidP="00C03E1C">
            <w:pPr>
              <w:keepNext/>
              <w:spacing w:line="240" w:lineRule="auto"/>
              <w:rPr>
                <w:rFonts w:ascii="Times New Roman" w:hAnsi="Times New Roman" w:cs="Times New Roman"/>
                <w:b/>
                <w:bCs/>
                <w:color w:val="000000" w:themeColor="text1"/>
              </w:rPr>
            </w:pPr>
          </w:p>
        </w:tc>
        <w:tc>
          <w:tcPr>
            <w:tcW w:w="2160" w:type="dxa"/>
            <w:hideMark/>
          </w:tcPr>
          <w:p w14:paraId="534DF414" w14:textId="4DA82614" w:rsidR="00191B0A" w:rsidRPr="00A35A5B" w:rsidRDefault="00191B0A"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w:t>
            </w:r>
            <w:r w:rsidR="00C720F2" w:rsidRPr="00A35A5B">
              <w:rPr>
                <w:rFonts w:ascii="Times New Roman" w:hAnsi="Times New Roman" w:cs="Times New Roman"/>
                <w:color w:val="000000"/>
              </w:rPr>
              <w:t xml:space="preserve">.85 </w:t>
            </w:r>
            <w:r w:rsidRPr="00A35A5B">
              <w:rPr>
                <w:rFonts w:ascii="Times New Roman" w:hAnsi="Times New Roman" w:cs="Times New Roman"/>
                <w:color w:val="000000"/>
              </w:rPr>
              <w:t>(0.62)</w:t>
            </w:r>
          </w:p>
          <w:p w14:paraId="34EE119F" w14:textId="680C83FA"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c>
          <w:tcPr>
            <w:tcW w:w="2160" w:type="dxa"/>
            <w:hideMark/>
          </w:tcPr>
          <w:p w14:paraId="045BBC4B" w14:textId="77777777" w:rsidR="00191B0A" w:rsidRPr="00A35A5B" w:rsidRDefault="00191B0A"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-1.37</w:t>
            </w:r>
          </w:p>
          <w:p w14:paraId="2C26C194" w14:textId="1CADCAB6"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c>
          <w:tcPr>
            <w:tcW w:w="2160" w:type="dxa"/>
            <w:hideMark/>
          </w:tcPr>
          <w:p w14:paraId="02016212" w14:textId="4FCC52AB" w:rsidR="00191B0A" w:rsidRPr="00A35A5B" w:rsidRDefault="00050370"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0.19</w:t>
            </w:r>
          </w:p>
          <w:p w14:paraId="65DD02CF" w14:textId="1F5D8338"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r>
      <w:tr w:rsidR="008615B4" w:rsidRPr="00A35A5B" w14:paraId="7F2205CB" w14:textId="77777777" w:rsidTr="00050370">
        <w:trPr>
          <w:trHeight w:val="317"/>
        </w:trPr>
        <w:tc>
          <w:tcPr>
            <w:tcW w:w="2520" w:type="dxa"/>
            <w:hideMark/>
          </w:tcPr>
          <w:p w14:paraId="25152CE3" w14:textId="5E0B76DB" w:rsidR="002C5AA6" w:rsidRPr="00A35A5B" w:rsidRDefault="008615B4" w:rsidP="00C03E1C">
            <w:pPr>
              <w:keepNext/>
              <w:spacing w:line="240" w:lineRule="auto"/>
              <w:rPr>
                <w:rFonts w:ascii="Times New Roman" w:hAnsi="Times New Roman" w:cs="Times New Roman"/>
                <w:b/>
                <w:bCs/>
                <w:color w:val="000000" w:themeColor="text1"/>
              </w:rPr>
            </w:pPr>
            <w:r w:rsidRPr="00A35A5B">
              <w:rPr>
                <w:rFonts w:ascii="Times New Roman" w:hAnsi="Times New Roman" w:cs="Times New Roman"/>
                <w:b/>
                <w:bCs/>
                <w:color w:val="000000" w:themeColor="text1"/>
              </w:rPr>
              <w:t>subject*same gender</w:t>
            </w:r>
          </w:p>
        </w:tc>
        <w:tc>
          <w:tcPr>
            <w:tcW w:w="2160" w:type="dxa"/>
            <w:hideMark/>
          </w:tcPr>
          <w:p w14:paraId="3867BF2E" w14:textId="44A8DF9D" w:rsidR="008615B4" w:rsidRPr="00A35A5B" w:rsidRDefault="00C720F2"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-0.1</w:t>
            </w:r>
            <w:r w:rsidR="00EE647D">
              <w:rPr>
                <w:rFonts w:ascii="Times New Roman" w:hAnsi="Times New Roman" w:cs="Times New Roman"/>
                <w:color w:val="000000"/>
              </w:rPr>
              <w:t>1</w:t>
            </w:r>
            <w:r w:rsidRPr="00A35A5B">
              <w:rPr>
                <w:rFonts w:ascii="Times New Roman" w:hAnsi="Times New Roman" w:cs="Times New Roman"/>
                <w:color w:val="000000"/>
              </w:rPr>
              <w:t xml:space="preserve"> </w:t>
            </w:r>
            <w:r w:rsidR="00050370" w:rsidRPr="00A35A5B">
              <w:rPr>
                <w:rFonts w:ascii="Times New Roman" w:hAnsi="Times New Roman" w:cs="Times New Roman"/>
                <w:color w:val="000000"/>
              </w:rPr>
              <w:t>(0.43)</w:t>
            </w:r>
          </w:p>
        </w:tc>
        <w:tc>
          <w:tcPr>
            <w:tcW w:w="2160" w:type="dxa"/>
            <w:hideMark/>
          </w:tcPr>
          <w:p w14:paraId="7F1E22D2" w14:textId="10F58B4A" w:rsidR="008615B4" w:rsidRPr="00A35A5B" w:rsidRDefault="00050370"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-0.25</w:t>
            </w:r>
          </w:p>
        </w:tc>
        <w:tc>
          <w:tcPr>
            <w:tcW w:w="2160" w:type="dxa"/>
            <w:hideMark/>
          </w:tcPr>
          <w:p w14:paraId="0D8B1895" w14:textId="5BDBA8C1" w:rsidR="00191B0A" w:rsidRPr="00A35A5B" w:rsidRDefault="00050370"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0.80</w:t>
            </w:r>
          </w:p>
          <w:p w14:paraId="422ACDB2" w14:textId="3567A81F"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r>
      <w:tr w:rsidR="008615B4" w:rsidRPr="00A35A5B" w14:paraId="3A4CCFFA" w14:textId="77777777" w:rsidTr="00050370">
        <w:trPr>
          <w:trHeight w:val="317"/>
        </w:trPr>
        <w:tc>
          <w:tcPr>
            <w:tcW w:w="2520" w:type="dxa"/>
            <w:hideMark/>
          </w:tcPr>
          <w:p w14:paraId="57453EAC" w14:textId="23B32347" w:rsidR="008615B4" w:rsidRPr="00A35A5B" w:rsidRDefault="008615B4" w:rsidP="00C03E1C">
            <w:pPr>
              <w:keepNext/>
              <w:spacing w:line="240" w:lineRule="auto"/>
              <w:rPr>
                <w:rFonts w:ascii="Times New Roman" w:hAnsi="Times New Roman" w:cs="Times New Roman"/>
                <w:b/>
                <w:bCs/>
                <w:color w:val="000000" w:themeColor="text1"/>
              </w:rPr>
            </w:pPr>
            <w:r w:rsidRPr="00A35A5B">
              <w:rPr>
                <w:rFonts w:ascii="Times New Roman" w:hAnsi="Times New Roman" w:cs="Times New Roman"/>
                <w:b/>
                <w:bCs/>
                <w:color w:val="000000" w:themeColor="text1"/>
              </w:rPr>
              <w:t xml:space="preserve">subject*goal*same gender </w:t>
            </w:r>
          </w:p>
        </w:tc>
        <w:tc>
          <w:tcPr>
            <w:tcW w:w="2160" w:type="dxa"/>
            <w:hideMark/>
          </w:tcPr>
          <w:p w14:paraId="16822521" w14:textId="349B7158" w:rsidR="008615B4" w:rsidRPr="00A35A5B" w:rsidRDefault="00C720F2" w:rsidP="00C03E1C">
            <w:pPr>
              <w:keepNext/>
              <w:spacing w:line="240" w:lineRule="auto"/>
              <w:jc w:val="center"/>
              <w:rPr>
                <w:rFonts w:ascii="Times New Roman" w:hAnsi="Times New Roman" w:cs="Times New Roman"/>
                <w:color w:val="000000"/>
              </w:rPr>
            </w:pPr>
            <w:r w:rsidRPr="00A35A5B">
              <w:rPr>
                <w:rFonts w:ascii="Times New Roman" w:hAnsi="Times New Roman" w:cs="Times New Roman"/>
                <w:color w:val="000000"/>
              </w:rPr>
              <w:t xml:space="preserve">       </w:t>
            </w:r>
            <w:r w:rsidR="00191B0A" w:rsidRPr="00A35A5B">
              <w:rPr>
                <w:rFonts w:ascii="Times New Roman" w:hAnsi="Times New Roman" w:cs="Times New Roman"/>
                <w:color w:val="000000"/>
              </w:rPr>
              <w:t>-1.94</w:t>
            </w:r>
            <w:r w:rsidRPr="00A35A5B">
              <w:rPr>
                <w:rFonts w:ascii="Times New Roman" w:hAnsi="Times New Roman" w:cs="Times New Roman"/>
                <w:color w:val="000000"/>
              </w:rPr>
              <w:t xml:space="preserve"> </w:t>
            </w:r>
            <w:r w:rsidR="00050370" w:rsidRPr="00A35A5B">
              <w:rPr>
                <w:rFonts w:ascii="Times New Roman" w:hAnsi="Times New Roman" w:cs="Times New Roman"/>
                <w:color w:val="000000"/>
              </w:rPr>
              <w:t>(0.8</w:t>
            </w:r>
            <w:r w:rsidR="00EE647D">
              <w:rPr>
                <w:rFonts w:ascii="Times New Roman" w:hAnsi="Times New Roman" w:cs="Times New Roman"/>
                <w:color w:val="000000"/>
              </w:rPr>
              <w:t>7</w:t>
            </w:r>
            <w:r w:rsidR="00050370" w:rsidRPr="00A35A5B">
              <w:rPr>
                <w:rFonts w:ascii="Times New Roman" w:hAnsi="Times New Roman" w:cs="Times New Roman"/>
                <w:color w:val="000000"/>
              </w:rPr>
              <w:t>)</w:t>
            </w:r>
          </w:p>
        </w:tc>
        <w:tc>
          <w:tcPr>
            <w:tcW w:w="2160" w:type="dxa"/>
            <w:hideMark/>
          </w:tcPr>
          <w:p w14:paraId="3026E9A4" w14:textId="77777777" w:rsidR="00191B0A" w:rsidRPr="00A35A5B" w:rsidRDefault="00191B0A"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-2.24</w:t>
            </w:r>
          </w:p>
          <w:p w14:paraId="19D711E5" w14:textId="12A89E10"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c>
          <w:tcPr>
            <w:tcW w:w="2160" w:type="dxa"/>
            <w:hideMark/>
          </w:tcPr>
          <w:p w14:paraId="5DDC8BB2" w14:textId="50850B04" w:rsidR="00191B0A" w:rsidRPr="00A35A5B" w:rsidRDefault="00050370" w:rsidP="00C03E1C">
            <w:pPr>
              <w:keepNext/>
              <w:spacing w:line="240" w:lineRule="auto"/>
              <w:jc w:val="right"/>
              <w:rPr>
                <w:rFonts w:ascii="Times New Roman" w:hAnsi="Times New Roman" w:cs="Times New Roman"/>
                <w:color w:val="000000"/>
              </w:rPr>
            </w:pPr>
            <w:r w:rsidRPr="00A35A5B">
              <w:rPr>
                <w:rFonts w:ascii="Times New Roman" w:hAnsi="Times New Roman" w:cs="Times New Roman"/>
                <w:color w:val="000000"/>
              </w:rPr>
              <w:t>0.04</w:t>
            </w:r>
          </w:p>
          <w:p w14:paraId="6AD64CCA" w14:textId="64A97604" w:rsidR="008615B4" w:rsidRPr="00A35A5B" w:rsidRDefault="008615B4" w:rsidP="00C03E1C">
            <w:pPr>
              <w:keepNext/>
              <w:spacing w:line="240" w:lineRule="auto"/>
              <w:ind w:firstLine="720"/>
              <w:jc w:val="right"/>
              <w:rPr>
                <w:rFonts w:ascii="Times New Roman" w:hAnsi="Times New Roman" w:cs="Times New Roman"/>
                <w:color w:val="000000" w:themeColor="text1"/>
              </w:rPr>
            </w:pPr>
          </w:p>
        </w:tc>
      </w:tr>
    </w:tbl>
    <w:p w14:paraId="3ED110B5" w14:textId="75C5D5DA" w:rsidR="00A35A5B" w:rsidRDefault="00A35A5B" w:rsidP="00943FD0">
      <w:pPr>
        <w:rPr>
          <w:iCs/>
        </w:rPr>
      </w:pPr>
      <w:r>
        <w:rPr>
          <w:iCs/>
        </w:rPr>
        <w:t xml:space="preserve">* The random slope for </w:t>
      </w:r>
      <w:r w:rsidR="00482E17">
        <w:rPr>
          <w:iCs/>
        </w:rPr>
        <w:t>different gender</w:t>
      </w:r>
      <w:r>
        <w:rPr>
          <w:iCs/>
        </w:rPr>
        <w:t xml:space="preserve"> by participant was estimated to be zero by the model and therefore excluded.</w:t>
      </w:r>
    </w:p>
    <w:p w14:paraId="33468131" w14:textId="77777777" w:rsidR="00EC6862" w:rsidRPr="00A35A5B" w:rsidRDefault="00EC6862" w:rsidP="001E51A1">
      <w:pPr>
        <w:keepNext/>
        <w:rPr>
          <w:iCs/>
        </w:rPr>
      </w:pPr>
    </w:p>
    <w:p w14:paraId="61043557" w14:textId="79E44749" w:rsidR="008615B4" w:rsidRPr="00811AA8" w:rsidRDefault="00C03E1C" w:rsidP="001E51A1">
      <w:pPr>
        <w:keepNext/>
      </w:pPr>
      <w:r w:rsidRPr="00A35A5B">
        <w:rPr>
          <w:i/>
          <w:iCs/>
        </w:rPr>
        <w:t xml:space="preserve">Table </w:t>
      </w:r>
      <w:r w:rsidR="004D0DF6">
        <w:rPr>
          <w:i/>
          <w:iCs/>
        </w:rPr>
        <w:t>7</w:t>
      </w:r>
      <w:r w:rsidRPr="00A35A5B">
        <w:rPr>
          <w:i/>
          <w:iCs/>
        </w:rPr>
        <w:t>.</w:t>
      </w:r>
      <w:r w:rsidRPr="00A35A5B">
        <w:t xml:space="preserve"> </w:t>
      </w:r>
      <w:r w:rsidR="00EB7437">
        <w:t xml:space="preserve">Experiment 1: </w:t>
      </w:r>
      <w:r w:rsidRPr="00A35A5B">
        <w:t>Overt pronoun rate</w:t>
      </w:r>
      <w:r w:rsidRPr="00811AA8">
        <w:t xml:space="preserve"> model</w:t>
      </w:r>
    </w:p>
    <w:tbl>
      <w:tblPr>
        <w:tblStyle w:val="TableGrid"/>
        <w:tblW w:w="9000" w:type="dxa"/>
        <w:tblLook w:val="04A0" w:firstRow="1" w:lastRow="0" w:firstColumn="1" w:lastColumn="0" w:noHBand="0" w:noVBand="1"/>
      </w:tblPr>
      <w:tblGrid>
        <w:gridCol w:w="2520"/>
        <w:gridCol w:w="2160"/>
        <w:gridCol w:w="2160"/>
        <w:gridCol w:w="2160"/>
      </w:tblGrid>
      <w:tr w:rsidR="008615B4" w:rsidRPr="00811AA8" w14:paraId="45783BC8" w14:textId="77777777" w:rsidTr="00A35A5B">
        <w:trPr>
          <w:trHeight w:val="595"/>
        </w:trPr>
        <w:tc>
          <w:tcPr>
            <w:tcW w:w="2520" w:type="dxa"/>
            <w:hideMark/>
          </w:tcPr>
          <w:p w14:paraId="797F33E0" w14:textId="77777777" w:rsidR="008615B4" w:rsidRPr="00811AA8" w:rsidRDefault="008615B4" w:rsidP="00601809">
            <w:pPr>
              <w:keepNext/>
              <w:spacing w:line="240" w:lineRule="auto"/>
              <w:rPr>
                <w:rFonts w:ascii="Times New Roman" w:hAnsi="Times New Roman" w:cs="Times New Roman"/>
                <w:b/>
                <w:bCs/>
                <w:lang w:val="it-IT" w:eastAsia="it-IT" w:bidi="bn-BD"/>
              </w:rPr>
            </w:pPr>
            <w:r w:rsidRPr="00811AA8">
              <w:rPr>
                <w:rFonts w:ascii="Times New Roman" w:hAnsi="Times New Roman" w:cs="Times New Roman"/>
                <w:b/>
                <w:bCs/>
                <w:lang w:val="it-IT" w:eastAsia="it-IT" w:bidi="bn-BD"/>
              </w:rPr>
              <w:t>Effect</w:t>
            </w:r>
          </w:p>
        </w:tc>
        <w:tc>
          <w:tcPr>
            <w:tcW w:w="2160" w:type="dxa"/>
            <w:hideMark/>
          </w:tcPr>
          <w:p w14:paraId="03556713" w14:textId="77777777" w:rsidR="00052772" w:rsidRPr="00811AA8" w:rsidRDefault="008615B4" w:rsidP="00601809">
            <w:pPr>
              <w:keepNext/>
              <w:spacing w:line="240" w:lineRule="auto"/>
              <w:rPr>
                <w:rFonts w:ascii="Times New Roman" w:hAnsi="Times New Roman" w:cs="Times New Roman"/>
                <w:b/>
                <w:bCs/>
                <w:lang w:val="it-IT" w:eastAsia="it-IT" w:bidi="bn-BD"/>
              </w:rPr>
            </w:pPr>
            <w:r w:rsidRPr="00811AA8">
              <w:rPr>
                <w:rFonts w:ascii="Times New Roman" w:hAnsi="Times New Roman" w:cs="Times New Roman"/>
                <w:b/>
                <w:bCs/>
                <w:lang w:val="it-IT" w:eastAsia="it-IT" w:bidi="bn-BD"/>
              </w:rPr>
              <w:t xml:space="preserve">Estimate </w:t>
            </w:r>
          </w:p>
          <w:p w14:paraId="1FF62072" w14:textId="5D03EA1B" w:rsidR="008615B4" w:rsidRPr="00811AA8" w:rsidRDefault="008615B4" w:rsidP="00601809">
            <w:pPr>
              <w:keepNext/>
              <w:spacing w:line="240" w:lineRule="auto"/>
              <w:rPr>
                <w:rFonts w:ascii="Times New Roman" w:hAnsi="Times New Roman" w:cs="Times New Roman"/>
                <w:b/>
                <w:bCs/>
                <w:lang w:val="it-IT" w:eastAsia="it-IT" w:bidi="bn-BD"/>
              </w:rPr>
            </w:pPr>
            <w:r w:rsidRPr="00811AA8">
              <w:rPr>
                <w:rFonts w:ascii="Times New Roman" w:hAnsi="Times New Roman" w:cs="Times New Roman"/>
                <w:b/>
                <w:bCs/>
                <w:lang w:val="it-IT" w:eastAsia="it-IT" w:bidi="bn-BD"/>
              </w:rPr>
              <w:t>(Standard Error)</w:t>
            </w:r>
          </w:p>
        </w:tc>
        <w:tc>
          <w:tcPr>
            <w:tcW w:w="2160" w:type="dxa"/>
            <w:hideMark/>
          </w:tcPr>
          <w:p w14:paraId="404789DC" w14:textId="77777777" w:rsidR="008615B4" w:rsidRPr="00811AA8" w:rsidRDefault="008615B4" w:rsidP="00601809">
            <w:pPr>
              <w:keepNext/>
              <w:spacing w:line="240" w:lineRule="auto"/>
              <w:rPr>
                <w:rFonts w:ascii="Times New Roman" w:hAnsi="Times New Roman" w:cs="Times New Roman"/>
                <w:b/>
                <w:bCs/>
                <w:lang w:val="it-IT" w:eastAsia="it-IT" w:bidi="bn-BD"/>
              </w:rPr>
            </w:pPr>
            <w:r w:rsidRPr="00811AA8">
              <w:rPr>
                <w:rFonts w:ascii="Times New Roman" w:hAnsi="Times New Roman" w:cs="Times New Roman"/>
                <w:b/>
                <w:bCs/>
                <w:lang w:val="it-IT" w:eastAsia="it-IT" w:bidi="bn-BD"/>
              </w:rPr>
              <w:t>t Value</w:t>
            </w:r>
          </w:p>
        </w:tc>
        <w:tc>
          <w:tcPr>
            <w:tcW w:w="2160" w:type="dxa"/>
            <w:hideMark/>
          </w:tcPr>
          <w:p w14:paraId="13808B9A" w14:textId="77777777" w:rsidR="008615B4" w:rsidRPr="00811AA8" w:rsidRDefault="008615B4" w:rsidP="00601809">
            <w:pPr>
              <w:keepNext/>
              <w:spacing w:line="240" w:lineRule="auto"/>
              <w:rPr>
                <w:rFonts w:ascii="Times New Roman" w:hAnsi="Times New Roman" w:cs="Times New Roman"/>
                <w:b/>
                <w:bCs/>
                <w:lang w:val="it-IT" w:eastAsia="it-IT" w:bidi="bn-BD"/>
              </w:rPr>
            </w:pPr>
            <w:r w:rsidRPr="00811AA8">
              <w:rPr>
                <w:rFonts w:ascii="Times New Roman" w:hAnsi="Times New Roman" w:cs="Times New Roman"/>
                <w:b/>
                <w:bCs/>
                <w:lang w:val="it-IT" w:eastAsia="it-IT" w:bidi="bn-BD"/>
              </w:rPr>
              <w:t>Pr &gt; |t|</w:t>
            </w:r>
          </w:p>
        </w:tc>
      </w:tr>
      <w:tr w:rsidR="008615B4" w:rsidRPr="00811AA8" w14:paraId="221B5A5A" w14:textId="77777777" w:rsidTr="00C03E1C">
        <w:trPr>
          <w:trHeight w:val="317"/>
        </w:trPr>
        <w:tc>
          <w:tcPr>
            <w:tcW w:w="2520" w:type="dxa"/>
            <w:hideMark/>
          </w:tcPr>
          <w:p w14:paraId="309A4146" w14:textId="77777777" w:rsidR="008615B4" w:rsidRPr="00811AA8" w:rsidRDefault="008615B4" w:rsidP="00C03E1C">
            <w:pPr>
              <w:keepNext/>
              <w:spacing w:line="240" w:lineRule="auto"/>
              <w:rPr>
                <w:rFonts w:ascii="Times New Roman" w:hAnsi="Times New Roman" w:cs="Times New Roman"/>
                <w:b/>
                <w:bCs/>
                <w:color w:val="000000" w:themeColor="text1"/>
                <w:lang w:eastAsia="it-IT" w:bidi="bn-BD"/>
              </w:rPr>
            </w:pPr>
            <w:r w:rsidRPr="00811AA8">
              <w:rPr>
                <w:rFonts w:ascii="Times New Roman" w:hAnsi="Times New Roman" w:cs="Times New Roman"/>
                <w:b/>
                <w:bCs/>
                <w:color w:val="000000" w:themeColor="text1"/>
                <w:lang w:eastAsia="it-IT" w:bidi="bn-BD"/>
              </w:rPr>
              <w:t>subject continuation</w:t>
            </w:r>
          </w:p>
        </w:tc>
        <w:tc>
          <w:tcPr>
            <w:tcW w:w="2160" w:type="dxa"/>
            <w:hideMark/>
          </w:tcPr>
          <w:p w14:paraId="28C6D733" w14:textId="1BBB99AC" w:rsidR="008615B4" w:rsidRPr="00C03E1C" w:rsidRDefault="00191B0A" w:rsidP="00C03E1C">
            <w:pPr>
              <w:keepNext/>
              <w:spacing w:line="240" w:lineRule="auto"/>
              <w:jc w:val="right"/>
              <w:rPr>
                <w:rFonts w:ascii="Times New Roman" w:hAnsi="Times New Roman" w:cs="Times New Roman"/>
                <w:color w:val="000000"/>
                <w:lang w:val="en-GB" w:eastAsia="en-GB"/>
              </w:rPr>
            </w:pPr>
            <w:r w:rsidRPr="00811AA8">
              <w:rPr>
                <w:rFonts w:ascii="Times New Roman" w:hAnsi="Times New Roman" w:cs="Times New Roman"/>
                <w:color w:val="000000"/>
              </w:rPr>
              <w:t>-1.12</w:t>
            </w:r>
            <w:r w:rsidR="00C03E1C">
              <w:rPr>
                <w:rFonts w:ascii="Times New Roman" w:hAnsi="Times New Roman" w:cs="Times New Roman"/>
                <w:color w:val="000000"/>
              </w:rPr>
              <w:t xml:space="preserve"> </w:t>
            </w:r>
            <w:r w:rsidRPr="00811AA8">
              <w:rPr>
                <w:rFonts w:ascii="Times New Roman" w:hAnsi="Times New Roman" w:cs="Times New Roman"/>
                <w:color w:val="000000" w:themeColor="text1"/>
                <w:lang w:val="it-IT" w:eastAsia="it-IT" w:bidi="bn-BD"/>
              </w:rPr>
              <w:t>(</w:t>
            </w:r>
            <w:r w:rsidRPr="00811AA8">
              <w:rPr>
                <w:rFonts w:ascii="Times New Roman" w:hAnsi="Times New Roman" w:cs="Times New Roman"/>
                <w:color w:val="000000"/>
              </w:rPr>
              <w:t>0.</w:t>
            </w:r>
            <w:r w:rsidR="00470244">
              <w:rPr>
                <w:rFonts w:ascii="Times New Roman" w:hAnsi="Times New Roman" w:cs="Times New Roman"/>
                <w:color w:val="000000"/>
              </w:rPr>
              <w:t>30</w:t>
            </w:r>
            <w:r w:rsidRPr="00811AA8">
              <w:rPr>
                <w:rFonts w:ascii="Times New Roman" w:hAnsi="Times New Roman" w:cs="Times New Roman"/>
                <w:color w:val="000000" w:themeColor="text1"/>
                <w:lang w:val="it-IT" w:eastAsia="it-IT" w:bidi="bn-BD"/>
              </w:rPr>
              <w:t>)</w:t>
            </w:r>
          </w:p>
        </w:tc>
        <w:tc>
          <w:tcPr>
            <w:tcW w:w="2160" w:type="dxa"/>
            <w:hideMark/>
          </w:tcPr>
          <w:p w14:paraId="260658E2" w14:textId="77777777" w:rsidR="00191B0A" w:rsidRPr="00811AA8" w:rsidRDefault="00191B0A" w:rsidP="00C03E1C">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-3.79</w:t>
            </w:r>
          </w:p>
          <w:p w14:paraId="6F3A7EEA" w14:textId="0283B964"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1BE78DF1" w14:textId="77777777" w:rsidR="00191B0A" w:rsidRPr="00811AA8" w:rsidRDefault="00191B0A" w:rsidP="00C03E1C">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0.0014</w:t>
            </w:r>
          </w:p>
          <w:p w14:paraId="3223CA79" w14:textId="126BEBC6"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13E154E9" w14:textId="77777777" w:rsidTr="00C03E1C">
        <w:trPr>
          <w:trHeight w:val="317"/>
        </w:trPr>
        <w:tc>
          <w:tcPr>
            <w:tcW w:w="2520" w:type="dxa"/>
            <w:hideMark/>
          </w:tcPr>
          <w:p w14:paraId="0E65F2BC" w14:textId="21DDE9AA" w:rsidR="008615B4" w:rsidRPr="00811AA8" w:rsidRDefault="008615B4" w:rsidP="00C03E1C">
            <w:pPr>
              <w:keepNext/>
              <w:spacing w:line="240" w:lineRule="auto"/>
              <w:rPr>
                <w:rFonts w:ascii="Times New Roman" w:hAnsi="Times New Roman" w:cs="Times New Roman"/>
                <w:b/>
                <w:bCs/>
                <w:color w:val="000000" w:themeColor="text1"/>
                <w:lang w:eastAsia="it-IT" w:bidi="bn-BD"/>
              </w:rPr>
            </w:pPr>
            <w:r w:rsidRPr="00811AA8">
              <w:rPr>
                <w:rFonts w:ascii="Times New Roman" w:hAnsi="Times New Roman" w:cs="Times New Roman"/>
                <w:b/>
                <w:bCs/>
                <w:color w:val="000000" w:themeColor="text1"/>
                <w:lang w:eastAsia="it-IT" w:bidi="bn-BD"/>
              </w:rPr>
              <w:t>goal continuation</w:t>
            </w:r>
          </w:p>
        </w:tc>
        <w:tc>
          <w:tcPr>
            <w:tcW w:w="2160" w:type="dxa"/>
            <w:hideMark/>
          </w:tcPr>
          <w:p w14:paraId="74C157C2" w14:textId="1B142889" w:rsidR="00191B0A" w:rsidRPr="00811AA8" w:rsidRDefault="00C03E1C" w:rsidP="00C03E1C">
            <w:pPr>
              <w:keepNext/>
              <w:spacing w:line="240" w:lineRule="auto"/>
              <w:jc w:val="right"/>
              <w:rPr>
                <w:rFonts w:ascii="Times New Roman" w:hAnsi="Times New Roman" w:cs="Times New Roman"/>
                <w:color w:val="000000"/>
              </w:rPr>
            </w:pPr>
            <w:r>
              <w:rPr>
                <w:rFonts w:ascii="Times New Roman" w:hAnsi="Times New Roman" w:cs="Times New Roman"/>
                <w:color w:val="000000"/>
              </w:rPr>
              <w:t xml:space="preserve">0.06 </w:t>
            </w:r>
            <w:r w:rsidR="00191B0A" w:rsidRPr="00811AA8">
              <w:rPr>
                <w:rFonts w:ascii="Times New Roman" w:hAnsi="Times New Roman" w:cs="Times New Roman"/>
                <w:color w:val="000000"/>
              </w:rPr>
              <w:t>(0.37)</w:t>
            </w:r>
          </w:p>
          <w:p w14:paraId="781DC712" w14:textId="0B1836A2"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6E8D0D9B" w14:textId="77777777" w:rsidR="00191B0A" w:rsidRPr="00811AA8" w:rsidRDefault="00191B0A" w:rsidP="00C03E1C">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0.17</w:t>
            </w:r>
          </w:p>
          <w:p w14:paraId="296B0742" w14:textId="3FBDD773"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3CDE0F06" w14:textId="1C7D556F" w:rsidR="00191B0A" w:rsidRPr="00811AA8" w:rsidRDefault="00C03E1C" w:rsidP="00C03E1C">
            <w:pPr>
              <w:keepNext/>
              <w:spacing w:line="240" w:lineRule="auto"/>
              <w:jc w:val="right"/>
              <w:rPr>
                <w:rFonts w:ascii="Times New Roman" w:hAnsi="Times New Roman" w:cs="Times New Roman"/>
                <w:color w:val="000000"/>
              </w:rPr>
            </w:pPr>
            <w:r>
              <w:rPr>
                <w:rFonts w:ascii="Times New Roman" w:hAnsi="Times New Roman" w:cs="Times New Roman"/>
                <w:color w:val="000000"/>
              </w:rPr>
              <w:t>0.86</w:t>
            </w:r>
          </w:p>
          <w:p w14:paraId="0A02436D" w14:textId="5140D87B"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43F4E9AF" w14:textId="77777777" w:rsidTr="00C03E1C">
        <w:trPr>
          <w:trHeight w:val="317"/>
        </w:trPr>
        <w:tc>
          <w:tcPr>
            <w:tcW w:w="2520" w:type="dxa"/>
            <w:hideMark/>
          </w:tcPr>
          <w:p w14:paraId="46833DD8" w14:textId="1949207B" w:rsidR="008615B4" w:rsidRPr="00811AA8" w:rsidRDefault="00D87985" w:rsidP="00C03E1C">
            <w:pPr>
              <w:keepNext/>
              <w:spacing w:line="240" w:lineRule="auto"/>
              <w:rPr>
                <w:rFonts w:ascii="Times New Roman" w:hAnsi="Times New Roman" w:cs="Times New Roman"/>
                <w:b/>
                <w:bCs/>
                <w:color w:val="000000" w:themeColor="text1"/>
                <w:lang w:eastAsia="it-IT" w:bidi="bn-BD"/>
              </w:rPr>
            </w:pPr>
            <w:r>
              <w:rPr>
                <w:rFonts w:ascii="Times New Roman" w:hAnsi="Times New Roman" w:cs="Times New Roman"/>
                <w:b/>
                <w:bCs/>
                <w:color w:val="000000" w:themeColor="text1"/>
                <w:lang w:eastAsia="it-IT" w:bidi="bn-BD"/>
              </w:rPr>
              <w:t>different</w:t>
            </w:r>
            <w:r w:rsidR="008615B4" w:rsidRPr="00811AA8">
              <w:rPr>
                <w:rFonts w:ascii="Times New Roman" w:hAnsi="Times New Roman" w:cs="Times New Roman"/>
                <w:b/>
                <w:bCs/>
                <w:color w:val="000000" w:themeColor="text1"/>
                <w:lang w:eastAsia="it-IT" w:bidi="bn-BD"/>
              </w:rPr>
              <w:t xml:space="preserve"> gender </w:t>
            </w:r>
            <w:r w:rsidR="0015157A">
              <w:rPr>
                <w:rFonts w:ascii="Times New Roman" w:hAnsi="Times New Roman" w:cs="Times New Roman"/>
                <w:b/>
                <w:bCs/>
                <w:color w:val="000000" w:themeColor="text1"/>
                <w:lang w:eastAsia="it-IT" w:bidi="bn-BD"/>
              </w:rPr>
              <w:t>(vs. same gender)</w:t>
            </w:r>
          </w:p>
        </w:tc>
        <w:tc>
          <w:tcPr>
            <w:tcW w:w="2160" w:type="dxa"/>
            <w:hideMark/>
          </w:tcPr>
          <w:p w14:paraId="33E86116" w14:textId="587364DD" w:rsidR="008615B4" w:rsidRPr="00C03E1C" w:rsidRDefault="00C03E1C" w:rsidP="00C03E1C">
            <w:pPr>
              <w:keepNext/>
              <w:spacing w:line="240" w:lineRule="auto"/>
              <w:jc w:val="right"/>
              <w:rPr>
                <w:rFonts w:ascii="Times New Roman" w:hAnsi="Times New Roman" w:cs="Times New Roman"/>
                <w:color w:val="000000"/>
              </w:rPr>
            </w:pPr>
            <w:r>
              <w:rPr>
                <w:rFonts w:ascii="Times New Roman" w:hAnsi="Times New Roman" w:cs="Times New Roman"/>
                <w:color w:val="000000"/>
              </w:rPr>
              <w:t>0.</w:t>
            </w:r>
            <w:r w:rsidR="00470244">
              <w:rPr>
                <w:rFonts w:ascii="Times New Roman" w:hAnsi="Times New Roman" w:cs="Times New Roman"/>
                <w:color w:val="000000"/>
              </w:rPr>
              <w:t>70</w:t>
            </w:r>
            <w:r>
              <w:rPr>
                <w:rFonts w:ascii="Times New Roman" w:hAnsi="Times New Roman" w:cs="Times New Roman"/>
                <w:color w:val="000000"/>
              </w:rPr>
              <w:t xml:space="preserve"> (0.3</w:t>
            </w:r>
            <w:r w:rsidR="00470244">
              <w:rPr>
                <w:rFonts w:ascii="Times New Roman" w:hAnsi="Times New Roman" w:cs="Times New Roman"/>
                <w:color w:val="000000"/>
              </w:rPr>
              <w:t>5</w:t>
            </w:r>
            <w:r>
              <w:rPr>
                <w:rFonts w:ascii="Times New Roman" w:hAnsi="Times New Roman" w:cs="Times New Roman"/>
                <w:color w:val="000000"/>
              </w:rPr>
              <w:t>)</w:t>
            </w:r>
          </w:p>
        </w:tc>
        <w:tc>
          <w:tcPr>
            <w:tcW w:w="2160" w:type="dxa"/>
            <w:hideMark/>
          </w:tcPr>
          <w:p w14:paraId="169A1525" w14:textId="3CBE958A" w:rsidR="00191B0A" w:rsidRPr="00811AA8" w:rsidRDefault="00191B0A" w:rsidP="00C03E1C">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2</w:t>
            </w:r>
            <w:r w:rsidR="00D87985">
              <w:rPr>
                <w:rFonts w:ascii="Times New Roman" w:hAnsi="Times New Roman" w:cs="Times New Roman"/>
                <w:color w:val="000000"/>
              </w:rPr>
              <w:t>.0</w:t>
            </w:r>
          </w:p>
          <w:p w14:paraId="74E145C2" w14:textId="017FB4CD"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4753DEF7" w14:textId="2106EA41" w:rsidR="00191B0A" w:rsidRPr="00811AA8" w:rsidRDefault="00C03E1C" w:rsidP="00C03E1C">
            <w:pPr>
              <w:keepNext/>
              <w:spacing w:line="240" w:lineRule="auto"/>
              <w:jc w:val="right"/>
              <w:rPr>
                <w:rFonts w:ascii="Times New Roman" w:hAnsi="Times New Roman" w:cs="Times New Roman"/>
                <w:color w:val="000000"/>
              </w:rPr>
            </w:pPr>
            <w:r>
              <w:rPr>
                <w:rFonts w:ascii="Times New Roman" w:hAnsi="Times New Roman" w:cs="Times New Roman"/>
                <w:color w:val="000000"/>
              </w:rPr>
              <w:t>0.06</w:t>
            </w:r>
          </w:p>
          <w:p w14:paraId="013E093C" w14:textId="1B47DC3D"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4B13628D" w14:textId="77777777" w:rsidTr="00C03E1C">
        <w:trPr>
          <w:trHeight w:val="317"/>
        </w:trPr>
        <w:tc>
          <w:tcPr>
            <w:tcW w:w="2520" w:type="dxa"/>
            <w:hideMark/>
          </w:tcPr>
          <w:p w14:paraId="25B5C2D5" w14:textId="655020A2" w:rsidR="008615B4" w:rsidRPr="00811AA8" w:rsidRDefault="008615B4" w:rsidP="00C03E1C">
            <w:pPr>
              <w:keepNext/>
              <w:spacing w:line="240" w:lineRule="auto"/>
              <w:rPr>
                <w:rFonts w:ascii="Times New Roman" w:hAnsi="Times New Roman" w:cs="Times New Roman"/>
                <w:b/>
                <w:bCs/>
                <w:color w:val="000000" w:themeColor="text1"/>
                <w:lang w:eastAsia="it-IT" w:bidi="bn-BD"/>
              </w:rPr>
            </w:pPr>
            <w:r w:rsidRPr="00811AA8">
              <w:rPr>
                <w:rFonts w:ascii="Times New Roman" w:hAnsi="Times New Roman" w:cs="Times New Roman"/>
                <w:b/>
                <w:bCs/>
                <w:color w:val="000000" w:themeColor="text1"/>
                <w:lang w:eastAsia="it-IT" w:bidi="bn-BD"/>
              </w:rPr>
              <w:t xml:space="preserve">subject*goal </w:t>
            </w:r>
          </w:p>
        </w:tc>
        <w:tc>
          <w:tcPr>
            <w:tcW w:w="2160" w:type="dxa"/>
            <w:hideMark/>
          </w:tcPr>
          <w:p w14:paraId="2C6C00D2" w14:textId="168439ED" w:rsidR="00A1323E" w:rsidRPr="00811AA8" w:rsidRDefault="00C03E1C" w:rsidP="00C03E1C">
            <w:pPr>
              <w:keepNext/>
              <w:spacing w:line="240" w:lineRule="auto"/>
              <w:jc w:val="right"/>
              <w:rPr>
                <w:rFonts w:ascii="Times New Roman" w:hAnsi="Times New Roman" w:cs="Times New Roman"/>
                <w:color w:val="000000"/>
              </w:rPr>
            </w:pPr>
            <w:r>
              <w:rPr>
                <w:rFonts w:ascii="Times New Roman" w:hAnsi="Times New Roman" w:cs="Times New Roman"/>
                <w:color w:val="000000"/>
              </w:rPr>
              <w:t xml:space="preserve">-1.85 </w:t>
            </w:r>
            <w:r w:rsidR="00A1323E" w:rsidRPr="00811AA8">
              <w:rPr>
                <w:rFonts w:ascii="Times New Roman" w:hAnsi="Times New Roman" w:cs="Times New Roman"/>
                <w:color w:val="000000"/>
              </w:rPr>
              <w:t>(0.5</w:t>
            </w:r>
            <w:r w:rsidR="00470244">
              <w:rPr>
                <w:rFonts w:ascii="Times New Roman" w:hAnsi="Times New Roman" w:cs="Times New Roman"/>
                <w:color w:val="000000"/>
              </w:rPr>
              <w:t>8</w:t>
            </w:r>
            <w:r w:rsidR="00A1323E" w:rsidRPr="00811AA8">
              <w:rPr>
                <w:rFonts w:ascii="Times New Roman" w:hAnsi="Times New Roman" w:cs="Times New Roman"/>
                <w:color w:val="000000"/>
              </w:rPr>
              <w:t>)</w:t>
            </w:r>
          </w:p>
          <w:p w14:paraId="490025AB" w14:textId="373773EE"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r w:rsidRPr="00811AA8">
              <w:rPr>
                <w:rFonts w:ascii="Times New Roman" w:hAnsi="Times New Roman" w:cs="Times New Roman"/>
                <w:color w:val="000000" w:themeColor="text1"/>
                <w:lang w:val="it-IT" w:eastAsia="it-IT" w:bidi="bn-BD"/>
              </w:rPr>
              <w:t xml:space="preserve"> </w:t>
            </w:r>
          </w:p>
        </w:tc>
        <w:tc>
          <w:tcPr>
            <w:tcW w:w="2160" w:type="dxa"/>
            <w:hideMark/>
          </w:tcPr>
          <w:p w14:paraId="35FDA58F" w14:textId="77777777" w:rsidR="00A1323E" w:rsidRPr="00811AA8" w:rsidRDefault="00A1323E" w:rsidP="00C03E1C">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-3.2</w:t>
            </w:r>
          </w:p>
          <w:p w14:paraId="25B1E51E" w14:textId="50261B3D"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30066C9B" w14:textId="77777777" w:rsidR="00A1323E" w:rsidRPr="00811AA8" w:rsidRDefault="00A1323E" w:rsidP="00C03E1C">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0.0038</w:t>
            </w:r>
          </w:p>
          <w:p w14:paraId="34AF7B21" w14:textId="2ED8D9BE"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5B43AD95" w14:textId="77777777" w:rsidTr="00C03E1C">
        <w:trPr>
          <w:trHeight w:val="317"/>
        </w:trPr>
        <w:tc>
          <w:tcPr>
            <w:tcW w:w="2520" w:type="dxa"/>
            <w:hideMark/>
          </w:tcPr>
          <w:p w14:paraId="41B89297" w14:textId="6A3F32C6" w:rsidR="008615B4" w:rsidRPr="00811AA8" w:rsidRDefault="008615B4" w:rsidP="00C03E1C">
            <w:pPr>
              <w:keepNext/>
              <w:spacing w:line="240" w:lineRule="auto"/>
              <w:rPr>
                <w:rFonts w:ascii="Times New Roman" w:hAnsi="Times New Roman" w:cs="Times New Roman"/>
                <w:b/>
                <w:bCs/>
                <w:color w:val="000000" w:themeColor="text1"/>
                <w:lang w:eastAsia="it-IT" w:bidi="bn-BD"/>
              </w:rPr>
            </w:pPr>
            <w:r w:rsidRPr="00811AA8">
              <w:rPr>
                <w:rFonts w:ascii="Times New Roman" w:hAnsi="Times New Roman" w:cs="Times New Roman"/>
                <w:b/>
                <w:bCs/>
                <w:color w:val="000000" w:themeColor="text1"/>
                <w:lang w:eastAsia="it-IT" w:bidi="bn-BD"/>
              </w:rPr>
              <w:t xml:space="preserve">goal*same gender </w:t>
            </w:r>
          </w:p>
        </w:tc>
        <w:tc>
          <w:tcPr>
            <w:tcW w:w="2160" w:type="dxa"/>
            <w:hideMark/>
          </w:tcPr>
          <w:p w14:paraId="3707C4D2" w14:textId="3DE357FC" w:rsidR="00A1323E" w:rsidRPr="00811AA8" w:rsidRDefault="00A1323E" w:rsidP="00C03E1C">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0.2</w:t>
            </w:r>
            <w:r w:rsidR="00C03E1C">
              <w:rPr>
                <w:rFonts w:ascii="Times New Roman" w:hAnsi="Times New Roman" w:cs="Times New Roman"/>
                <w:color w:val="000000"/>
              </w:rPr>
              <w:t xml:space="preserve">2 </w:t>
            </w:r>
            <w:r w:rsidRPr="00811AA8">
              <w:rPr>
                <w:rFonts w:ascii="Times New Roman" w:hAnsi="Times New Roman" w:cs="Times New Roman"/>
                <w:color w:val="000000"/>
              </w:rPr>
              <w:t>(0.</w:t>
            </w:r>
            <w:r w:rsidR="00470244">
              <w:rPr>
                <w:rFonts w:ascii="Times New Roman" w:hAnsi="Times New Roman" w:cs="Times New Roman"/>
                <w:color w:val="000000"/>
              </w:rPr>
              <w:t>70</w:t>
            </w:r>
            <w:r w:rsidRPr="00811AA8">
              <w:rPr>
                <w:rFonts w:ascii="Times New Roman" w:hAnsi="Times New Roman" w:cs="Times New Roman"/>
                <w:color w:val="000000"/>
              </w:rPr>
              <w:t>)</w:t>
            </w:r>
          </w:p>
          <w:p w14:paraId="60DC7CC0" w14:textId="017B70D2"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3EF532DA" w14:textId="77777777" w:rsidR="0074283F" w:rsidRPr="00811AA8" w:rsidRDefault="0074283F" w:rsidP="00C03E1C">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0.32</w:t>
            </w:r>
          </w:p>
          <w:p w14:paraId="05AAC00C" w14:textId="77A3CE80"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024B6444" w14:textId="6AF2B410" w:rsidR="0074283F" w:rsidRPr="00811AA8" w:rsidRDefault="00C03E1C" w:rsidP="00C03E1C">
            <w:pPr>
              <w:keepNext/>
              <w:spacing w:line="240" w:lineRule="auto"/>
              <w:jc w:val="right"/>
              <w:rPr>
                <w:rFonts w:ascii="Times New Roman" w:hAnsi="Times New Roman" w:cs="Times New Roman"/>
                <w:color w:val="000000"/>
              </w:rPr>
            </w:pPr>
            <w:r>
              <w:rPr>
                <w:rFonts w:ascii="Times New Roman" w:hAnsi="Times New Roman" w:cs="Times New Roman"/>
                <w:color w:val="000000"/>
              </w:rPr>
              <w:t>0.75</w:t>
            </w:r>
          </w:p>
          <w:p w14:paraId="02964E3A" w14:textId="6235F6C4"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769F700C" w14:textId="77777777" w:rsidTr="00C03E1C">
        <w:trPr>
          <w:trHeight w:val="317"/>
        </w:trPr>
        <w:tc>
          <w:tcPr>
            <w:tcW w:w="2520" w:type="dxa"/>
            <w:hideMark/>
          </w:tcPr>
          <w:p w14:paraId="4E6714E8" w14:textId="08D2427F" w:rsidR="008615B4" w:rsidRPr="00811AA8" w:rsidRDefault="008615B4" w:rsidP="00C03E1C">
            <w:pPr>
              <w:keepNext/>
              <w:spacing w:line="240" w:lineRule="auto"/>
              <w:rPr>
                <w:rFonts w:ascii="Times New Roman" w:hAnsi="Times New Roman" w:cs="Times New Roman"/>
                <w:b/>
                <w:bCs/>
                <w:color w:val="000000" w:themeColor="text1"/>
                <w:lang w:eastAsia="it-IT" w:bidi="bn-BD"/>
              </w:rPr>
            </w:pPr>
            <w:r w:rsidRPr="00811AA8">
              <w:rPr>
                <w:rFonts w:ascii="Times New Roman" w:hAnsi="Times New Roman" w:cs="Times New Roman"/>
                <w:b/>
                <w:bCs/>
                <w:color w:val="000000" w:themeColor="text1"/>
                <w:lang w:eastAsia="it-IT" w:bidi="bn-BD"/>
              </w:rPr>
              <w:t xml:space="preserve">subject*same gender </w:t>
            </w:r>
          </w:p>
        </w:tc>
        <w:tc>
          <w:tcPr>
            <w:tcW w:w="2160" w:type="dxa"/>
            <w:hideMark/>
          </w:tcPr>
          <w:p w14:paraId="12DB6414" w14:textId="5924ED03" w:rsidR="0074283F" w:rsidRPr="00811AA8" w:rsidRDefault="00C03E1C" w:rsidP="00C03E1C">
            <w:pPr>
              <w:keepNext/>
              <w:spacing w:line="240" w:lineRule="auto"/>
              <w:jc w:val="right"/>
              <w:rPr>
                <w:rFonts w:ascii="Times New Roman" w:hAnsi="Times New Roman" w:cs="Times New Roman"/>
                <w:color w:val="000000"/>
              </w:rPr>
            </w:pPr>
            <w:r>
              <w:rPr>
                <w:rFonts w:ascii="Times New Roman" w:hAnsi="Times New Roman" w:cs="Times New Roman"/>
                <w:color w:val="000000"/>
              </w:rPr>
              <w:t xml:space="preserve">0.07 </w:t>
            </w:r>
            <w:r w:rsidR="0074283F" w:rsidRPr="00811AA8">
              <w:rPr>
                <w:rFonts w:ascii="Times New Roman" w:hAnsi="Times New Roman" w:cs="Times New Roman"/>
                <w:color w:val="000000"/>
              </w:rPr>
              <w:t>(0.57)</w:t>
            </w:r>
          </w:p>
          <w:p w14:paraId="6399E8B6" w14:textId="2473CA75"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44C9E727" w14:textId="77777777" w:rsidR="0074283F" w:rsidRPr="00811AA8" w:rsidRDefault="0074283F" w:rsidP="00C03E1C">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0.13</w:t>
            </w:r>
          </w:p>
          <w:p w14:paraId="2281858E" w14:textId="4440493E"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69994B12" w14:textId="18F32C31" w:rsidR="0074283F" w:rsidRPr="00811AA8" w:rsidRDefault="00C03E1C" w:rsidP="00C03E1C">
            <w:pPr>
              <w:keepNext/>
              <w:spacing w:line="240" w:lineRule="auto"/>
              <w:jc w:val="right"/>
              <w:rPr>
                <w:rFonts w:ascii="Times New Roman" w:hAnsi="Times New Roman" w:cs="Times New Roman"/>
                <w:color w:val="000000"/>
              </w:rPr>
            </w:pPr>
            <w:r>
              <w:rPr>
                <w:rFonts w:ascii="Times New Roman" w:hAnsi="Times New Roman" w:cs="Times New Roman"/>
                <w:color w:val="000000"/>
              </w:rPr>
              <w:t>0.90</w:t>
            </w:r>
          </w:p>
          <w:p w14:paraId="5DED6097" w14:textId="7146A397"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299E7069" w14:textId="77777777" w:rsidTr="00C03E1C">
        <w:trPr>
          <w:trHeight w:val="317"/>
        </w:trPr>
        <w:tc>
          <w:tcPr>
            <w:tcW w:w="2520" w:type="dxa"/>
            <w:hideMark/>
          </w:tcPr>
          <w:p w14:paraId="5D9A6B7A" w14:textId="0001DD4D" w:rsidR="008615B4" w:rsidRPr="00811AA8" w:rsidRDefault="008615B4" w:rsidP="00C03E1C">
            <w:pPr>
              <w:keepNext/>
              <w:spacing w:line="240" w:lineRule="auto"/>
              <w:rPr>
                <w:rFonts w:ascii="Times New Roman" w:hAnsi="Times New Roman" w:cs="Times New Roman"/>
                <w:b/>
                <w:bCs/>
                <w:color w:val="000000" w:themeColor="text1"/>
                <w:lang w:val="it-IT" w:eastAsia="it-IT" w:bidi="bn-BD"/>
              </w:rPr>
            </w:pPr>
            <w:r w:rsidRPr="00811AA8">
              <w:rPr>
                <w:rFonts w:ascii="Times New Roman" w:hAnsi="Times New Roman" w:cs="Times New Roman"/>
                <w:b/>
                <w:bCs/>
                <w:color w:val="000000" w:themeColor="text1"/>
                <w:lang w:val="it-IT" w:eastAsia="it-IT" w:bidi="bn-BD"/>
              </w:rPr>
              <w:t>subject*</w:t>
            </w:r>
            <w:r w:rsidRPr="00811AA8">
              <w:rPr>
                <w:rFonts w:ascii="Times New Roman" w:hAnsi="Times New Roman" w:cs="Times New Roman"/>
                <w:b/>
                <w:bCs/>
                <w:color w:val="000000" w:themeColor="text1"/>
                <w:lang w:eastAsia="it-IT" w:bidi="bn-BD"/>
              </w:rPr>
              <w:t xml:space="preserve">goal*same gender </w:t>
            </w:r>
          </w:p>
        </w:tc>
        <w:tc>
          <w:tcPr>
            <w:tcW w:w="2160" w:type="dxa"/>
            <w:hideMark/>
          </w:tcPr>
          <w:p w14:paraId="081A0F8D" w14:textId="017F7F43" w:rsidR="008615B4" w:rsidRPr="00C03E1C" w:rsidRDefault="00C03E1C" w:rsidP="00C03E1C">
            <w:pPr>
              <w:keepNext/>
              <w:spacing w:line="240" w:lineRule="auto"/>
              <w:jc w:val="right"/>
              <w:rPr>
                <w:rFonts w:ascii="Times New Roman" w:hAnsi="Times New Roman" w:cs="Times New Roman"/>
                <w:color w:val="000000"/>
              </w:rPr>
            </w:pPr>
            <w:r>
              <w:rPr>
                <w:rFonts w:ascii="Times New Roman" w:hAnsi="Times New Roman" w:cs="Times New Roman"/>
                <w:color w:val="000000"/>
              </w:rPr>
              <w:t>0.63 (1.1</w:t>
            </w:r>
            <w:r w:rsidR="00470244">
              <w:rPr>
                <w:rFonts w:ascii="Times New Roman" w:hAnsi="Times New Roman" w:cs="Times New Roman"/>
                <w:color w:val="000000"/>
              </w:rPr>
              <w:t>5</w:t>
            </w:r>
            <w:r>
              <w:rPr>
                <w:rFonts w:ascii="Times New Roman" w:hAnsi="Times New Roman" w:cs="Times New Roman"/>
                <w:color w:val="000000"/>
              </w:rPr>
              <w:t>)</w:t>
            </w:r>
          </w:p>
        </w:tc>
        <w:tc>
          <w:tcPr>
            <w:tcW w:w="2160" w:type="dxa"/>
            <w:hideMark/>
          </w:tcPr>
          <w:p w14:paraId="5C91D497" w14:textId="77777777" w:rsidR="0074283F" w:rsidRPr="00811AA8" w:rsidRDefault="0074283F" w:rsidP="00C03E1C">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0.55</w:t>
            </w:r>
          </w:p>
          <w:p w14:paraId="6AD33ABC" w14:textId="0B2EA11B"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44D5FE00" w14:textId="5C8ACA8D" w:rsidR="0074283F" w:rsidRPr="00811AA8" w:rsidRDefault="00C03E1C" w:rsidP="00C03E1C">
            <w:pPr>
              <w:keepNext/>
              <w:spacing w:line="240" w:lineRule="auto"/>
              <w:jc w:val="right"/>
              <w:rPr>
                <w:rFonts w:ascii="Times New Roman" w:hAnsi="Times New Roman" w:cs="Times New Roman"/>
                <w:color w:val="000000"/>
              </w:rPr>
            </w:pPr>
            <w:r>
              <w:rPr>
                <w:rFonts w:ascii="Times New Roman" w:hAnsi="Times New Roman" w:cs="Times New Roman"/>
                <w:color w:val="000000"/>
              </w:rPr>
              <w:t>0.59</w:t>
            </w:r>
          </w:p>
          <w:p w14:paraId="44812613" w14:textId="16E73C83" w:rsidR="008615B4" w:rsidRPr="00811AA8" w:rsidRDefault="008615B4" w:rsidP="00C03E1C">
            <w:pPr>
              <w:keepNext/>
              <w:spacing w:line="240" w:lineRule="auto"/>
              <w:ind w:firstLine="720"/>
              <w:jc w:val="right"/>
              <w:rPr>
                <w:rFonts w:ascii="Times New Roman" w:hAnsi="Times New Roman" w:cs="Times New Roman"/>
                <w:color w:val="000000" w:themeColor="text1"/>
                <w:lang w:val="it-IT" w:eastAsia="it-IT" w:bidi="bn-BD"/>
              </w:rPr>
            </w:pPr>
          </w:p>
        </w:tc>
      </w:tr>
    </w:tbl>
    <w:p w14:paraId="10E5A4CB" w14:textId="77777777" w:rsidR="00E27927" w:rsidRDefault="00E27927" w:rsidP="00E27927">
      <w:pPr>
        <w:keepNext/>
        <w:rPr>
          <w:iCs/>
        </w:rPr>
      </w:pPr>
      <w:r>
        <w:rPr>
          <w:iCs/>
        </w:rPr>
        <w:t>* The random slope for different gender by participant was estimated to be zero by the model and therefore excluded.</w:t>
      </w:r>
    </w:p>
    <w:p w14:paraId="610794E3" w14:textId="7AE7B7F4" w:rsidR="008615B4" w:rsidRDefault="00FF61B2" w:rsidP="00FF61B2">
      <w:pPr>
        <w:spacing w:line="240" w:lineRule="auto"/>
      </w:pPr>
      <w:r>
        <w:br w:type="page"/>
      </w:r>
    </w:p>
    <w:p w14:paraId="388C6EDE" w14:textId="35D6BD51" w:rsidR="00C03E1C" w:rsidRPr="00811AA8" w:rsidRDefault="00C03E1C" w:rsidP="001E51A1">
      <w:pPr>
        <w:keepNext/>
      </w:pPr>
      <w:r w:rsidRPr="002C5AA6">
        <w:rPr>
          <w:i/>
          <w:iCs/>
        </w:rPr>
        <w:lastRenderedPageBreak/>
        <w:t xml:space="preserve">Table </w:t>
      </w:r>
      <w:r w:rsidR="004D0DF6">
        <w:rPr>
          <w:i/>
          <w:iCs/>
        </w:rPr>
        <w:t>8</w:t>
      </w:r>
      <w:r w:rsidRPr="002C5AA6">
        <w:rPr>
          <w:i/>
          <w:iCs/>
        </w:rPr>
        <w:t>.</w:t>
      </w:r>
      <w:r>
        <w:t xml:space="preserve"> </w:t>
      </w:r>
      <w:r w:rsidR="00EB7437">
        <w:t xml:space="preserve">Experiment 1: </w:t>
      </w:r>
      <w:r>
        <w:t>Null pronoun rate model</w:t>
      </w:r>
    </w:p>
    <w:tbl>
      <w:tblPr>
        <w:tblStyle w:val="TableGrid"/>
        <w:tblW w:w="9000" w:type="dxa"/>
        <w:tblLook w:val="04A0" w:firstRow="1" w:lastRow="0" w:firstColumn="1" w:lastColumn="0" w:noHBand="0" w:noVBand="1"/>
      </w:tblPr>
      <w:tblGrid>
        <w:gridCol w:w="2520"/>
        <w:gridCol w:w="2160"/>
        <w:gridCol w:w="2160"/>
        <w:gridCol w:w="2160"/>
      </w:tblGrid>
      <w:tr w:rsidR="008615B4" w:rsidRPr="00811AA8" w14:paraId="0F5234C3" w14:textId="77777777" w:rsidTr="00C03E1C">
        <w:trPr>
          <w:trHeight w:val="317"/>
        </w:trPr>
        <w:tc>
          <w:tcPr>
            <w:tcW w:w="2520" w:type="dxa"/>
            <w:hideMark/>
          </w:tcPr>
          <w:p w14:paraId="3077E31C" w14:textId="77777777" w:rsidR="008615B4" w:rsidRPr="00811AA8" w:rsidRDefault="008615B4" w:rsidP="00601809">
            <w:pPr>
              <w:keepNext/>
              <w:spacing w:line="240" w:lineRule="auto"/>
              <w:rPr>
                <w:rFonts w:ascii="Times New Roman" w:hAnsi="Times New Roman" w:cs="Times New Roman"/>
                <w:b/>
                <w:bCs/>
                <w:lang w:eastAsia="it-IT" w:bidi="bn-BD"/>
              </w:rPr>
            </w:pPr>
            <w:r w:rsidRPr="00811AA8">
              <w:rPr>
                <w:rFonts w:ascii="Times New Roman" w:hAnsi="Times New Roman" w:cs="Times New Roman"/>
                <w:b/>
                <w:bCs/>
                <w:lang w:eastAsia="it-IT" w:bidi="bn-BD"/>
              </w:rPr>
              <w:t>Effect</w:t>
            </w:r>
          </w:p>
        </w:tc>
        <w:tc>
          <w:tcPr>
            <w:tcW w:w="2160" w:type="dxa"/>
            <w:hideMark/>
          </w:tcPr>
          <w:p w14:paraId="7A38F31C" w14:textId="77777777" w:rsidR="00052772" w:rsidRPr="00811AA8" w:rsidRDefault="008615B4" w:rsidP="00601809">
            <w:pPr>
              <w:keepNext/>
              <w:spacing w:line="240" w:lineRule="auto"/>
              <w:rPr>
                <w:rFonts w:ascii="Times New Roman" w:hAnsi="Times New Roman" w:cs="Times New Roman"/>
                <w:b/>
                <w:bCs/>
                <w:lang w:eastAsia="it-IT" w:bidi="bn-BD"/>
              </w:rPr>
            </w:pPr>
            <w:r w:rsidRPr="00811AA8">
              <w:rPr>
                <w:rFonts w:ascii="Times New Roman" w:hAnsi="Times New Roman" w:cs="Times New Roman"/>
                <w:b/>
                <w:bCs/>
                <w:lang w:eastAsia="it-IT" w:bidi="bn-BD"/>
              </w:rPr>
              <w:t xml:space="preserve">Estimate </w:t>
            </w:r>
          </w:p>
          <w:p w14:paraId="02507561" w14:textId="75D36930" w:rsidR="008615B4" w:rsidRPr="00811AA8" w:rsidRDefault="008615B4" w:rsidP="00601809">
            <w:pPr>
              <w:keepNext/>
              <w:spacing w:line="240" w:lineRule="auto"/>
              <w:rPr>
                <w:rFonts w:ascii="Times New Roman" w:hAnsi="Times New Roman" w:cs="Times New Roman"/>
                <w:b/>
                <w:bCs/>
                <w:lang w:eastAsia="it-IT" w:bidi="bn-BD"/>
              </w:rPr>
            </w:pPr>
            <w:r w:rsidRPr="00811AA8">
              <w:rPr>
                <w:rFonts w:ascii="Times New Roman" w:hAnsi="Times New Roman" w:cs="Times New Roman"/>
                <w:b/>
                <w:bCs/>
                <w:lang w:eastAsia="it-IT" w:bidi="bn-BD"/>
              </w:rPr>
              <w:t>(Standard Error)</w:t>
            </w:r>
          </w:p>
        </w:tc>
        <w:tc>
          <w:tcPr>
            <w:tcW w:w="2160" w:type="dxa"/>
            <w:hideMark/>
          </w:tcPr>
          <w:p w14:paraId="63B3B34C" w14:textId="77777777" w:rsidR="008615B4" w:rsidRPr="00811AA8" w:rsidRDefault="008615B4" w:rsidP="00601809">
            <w:pPr>
              <w:keepNext/>
              <w:spacing w:line="240" w:lineRule="auto"/>
              <w:rPr>
                <w:rFonts w:ascii="Times New Roman" w:hAnsi="Times New Roman" w:cs="Times New Roman"/>
                <w:b/>
                <w:bCs/>
                <w:lang w:val="it-IT" w:eastAsia="it-IT" w:bidi="bn-BD"/>
              </w:rPr>
            </w:pPr>
            <w:r w:rsidRPr="00811AA8">
              <w:rPr>
                <w:rFonts w:ascii="Times New Roman" w:hAnsi="Times New Roman" w:cs="Times New Roman"/>
                <w:b/>
                <w:bCs/>
                <w:lang w:val="it-IT" w:eastAsia="it-IT" w:bidi="bn-BD"/>
              </w:rPr>
              <w:t>t Value</w:t>
            </w:r>
          </w:p>
        </w:tc>
        <w:tc>
          <w:tcPr>
            <w:tcW w:w="2160" w:type="dxa"/>
            <w:hideMark/>
          </w:tcPr>
          <w:p w14:paraId="7FF25921" w14:textId="77777777" w:rsidR="008615B4" w:rsidRPr="00811AA8" w:rsidRDefault="008615B4" w:rsidP="00601809">
            <w:pPr>
              <w:keepNext/>
              <w:spacing w:line="240" w:lineRule="auto"/>
              <w:rPr>
                <w:rFonts w:ascii="Times New Roman" w:hAnsi="Times New Roman" w:cs="Times New Roman"/>
                <w:b/>
                <w:bCs/>
                <w:lang w:val="it-IT" w:eastAsia="it-IT" w:bidi="bn-BD"/>
              </w:rPr>
            </w:pPr>
            <w:r w:rsidRPr="00811AA8">
              <w:rPr>
                <w:rFonts w:ascii="Times New Roman" w:hAnsi="Times New Roman" w:cs="Times New Roman"/>
                <w:b/>
                <w:bCs/>
                <w:lang w:val="it-IT" w:eastAsia="it-IT" w:bidi="bn-BD"/>
              </w:rPr>
              <w:t>Pr &gt; |t|</w:t>
            </w:r>
          </w:p>
        </w:tc>
      </w:tr>
      <w:tr w:rsidR="008615B4" w:rsidRPr="00811AA8" w14:paraId="417A65C1" w14:textId="77777777" w:rsidTr="00C03E1C">
        <w:trPr>
          <w:trHeight w:val="317"/>
        </w:trPr>
        <w:tc>
          <w:tcPr>
            <w:tcW w:w="2520" w:type="dxa"/>
            <w:hideMark/>
          </w:tcPr>
          <w:p w14:paraId="5FBED45C" w14:textId="77777777" w:rsidR="008615B4" w:rsidRPr="00811AA8" w:rsidRDefault="008615B4" w:rsidP="00601809">
            <w:pPr>
              <w:keepNext/>
              <w:spacing w:line="240" w:lineRule="auto"/>
              <w:rPr>
                <w:rFonts w:ascii="Times New Roman" w:hAnsi="Times New Roman" w:cs="Times New Roman"/>
                <w:b/>
                <w:bCs/>
                <w:color w:val="000000" w:themeColor="text1"/>
                <w:lang w:eastAsia="it-IT" w:bidi="bn-BD"/>
              </w:rPr>
            </w:pPr>
            <w:r w:rsidRPr="00811AA8">
              <w:rPr>
                <w:rFonts w:ascii="Times New Roman" w:hAnsi="Times New Roman" w:cs="Times New Roman"/>
                <w:b/>
                <w:bCs/>
                <w:color w:val="000000" w:themeColor="text1"/>
                <w:lang w:eastAsia="it-IT" w:bidi="bn-BD"/>
              </w:rPr>
              <w:t>subject continuation</w:t>
            </w:r>
          </w:p>
        </w:tc>
        <w:tc>
          <w:tcPr>
            <w:tcW w:w="2160" w:type="dxa"/>
            <w:hideMark/>
          </w:tcPr>
          <w:p w14:paraId="36E5BE1D" w14:textId="2CEB9DB6" w:rsidR="008615B4" w:rsidRPr="00C03E1C" w:rsidRDefault="00D11406" w:rsidP="00601809">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3.37</w:t>
            </w:r>
            <w:r w:rsidR="00C03E1C">
              <w:rPr>
                <w:rFonts w:ascii="Times New Roman" w:hAnsi="Times New Roman" w:cs="Times New Roman"/>
                <w:color w:val="000000"/>
              </w:rPr>
              <w:t xml:space="preserve"> </w:t>
            </w:r>
            <w:r w:rsidRPr="00811AA8">
              <w:rPr>
                <w:rFonts w:ascii="Times New Roman" w:hAnsi="Times New Roman" w:cs="Times New Roman"/>
                <w:color w:val="000000"/>
              </w:rPr>
              <w:t>(0.3</w:t>
            </w:r>
            <w:r w:rsidR="005F195D">
              <w:rPr>
                <w:rFonts w:ascii="Times New Roman" w:hAnsi="Times New Roman" w:cs="Times New Roman"/>
                <w:color w:val="000000"/>
              </w:rPr>
              <w:t>9</w:t>
            </w:r>
            <w:r w:rsidRPr="00811AA8">
              <w:rPr>
                <w:rFonts w:ascii="Times New Roman" w:hAnsi="Times New Roman" w:cs="Times New Roman"/>
                <w:color w:val="000000"/>
              </w:rPr>
              <w:t>)</w:t>
            </w:r>
          </w:p>
        </w:tc>
        <w:tc>
          <w:tcPr>
            <w:tcW w:w="2160" w:type="dxa"/>
            <w:hideMark/>
          </w:tcPr>
          <w:p w14:paraId="2ED3FA94" w14:textId="77777777" w:rsidR="00D11406" w:rsidRPr="00811AA8" w:rsidRDefault="00D11406" w:rsidP="00601809">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8.66</w:t>
            </w:r>
          </w:p>
          <w:p w14:paraId="26BB3F92" w14:textId="15DA61A3"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515E2198" w14:textId="77777777" w:rsidR="00D11406" w:rsidRPr="00811AA8" w:rsidRDefault="00D11406" w:rsidP="00601809">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&lt;.0001</w:t>
            </w:r>
          </w:p>
          <w:p w14:paraId="78828021" w14:textId="75E06B66"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0A331D6C" w14:textId="77777777" w:rsidTr="00C03E1C">
        <w:trPr>
          <w:trHeight w:val="317"/>
        </w:trPr>
        <w:tc>
          <w:tcPr>
            <w:tcW w:w="2520" w:type="dxa"/>
            <w:hideMark/>
          </w:tcPr>
          <w:p w14:paraId="0F9E6905" w14:textId="77777777" w:rsidR="008615B4" w:rsidRPr="00811AA8" w:rsidRDefault="008615B4" w:rsidP="00601809">
            <w:pPr>
              <w:keepNext/>
              <w:spacing w:line="240" w:lineRule="auto"/>
              <w:rPr>
                <w:rFonts w:ascii="Times New Roman" w:hAnsi="Times New Roman" w:cs="Times New Roman"/>
                <w:b/>
                <w:bCs/>
                <w:color w:val="000000" w:themeColor="text1"/>
                <w:lang w:eastAsia="it-IT" w:bidi="bn-BD"/>
              </w:rPr>
            </w:pPr>
            <w:r w:rsidRPr="00811AA8">
              <w:rPr>
                <w:rFonts w:ascii="Times New Roman" w:hAnsi="Times New Roman" w:cs="Times New Roman"/>
                <w:b/>
                <w:bCs/>
                <w:color w:val="000000" w:themeColor="text1"/>
                <w:lang w:eastAsia="it-IT" w:bidi="bn-BD"/>
              </w:rPr>
              <w:t>goal continuation</w:t>
            </w:r>
          </w:p>
        </w:tc>
        <w:tc>
          <w:tcPr>
            <w:tcW w:w="2160" w:type="dxa"/>
            <w:hideMark/>
          </w:tcPr>
          <w:p w14:paraId="04E360FC" w14:textId="48D5CA36" w:rsidR="00D11406" w:rsidRPr="00811AA8"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 xml:space="preserve">-0.21 </w:t>
            </w:r>
            <w:r w:rsidR="00D11406" w:rsidRPr="00811AA8">
              <w:rPr>
                <w:rFonts w:ascii="Times New Roman" w:hAnsi="Times New Roman" w:cs="Times New Roman"/>
                <w:color w:val="000000"/>
              </w:rPr>
              <w:t>(0.31)</w:t>
            </w:r>
          </w:p>
          <w:p w14:paraId="4B2F985E" w14:textId="3D85294E"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6E51842D" w14:textId="77777777" w:rsidR="00D11406" w:rsidRPr="00811AA8" w:rsidRDefault="00D11406" w:rsidP="00601809">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-0.67</w:t>
            </w:r>
          </w:p>
          <w:p w14:paraId="7BF526C9" w14:textId="388E7BEA"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5D89F48C" w14:textId="0A2E123B" w:rsidR="00D11406" w:rsidRPr="00811AA8"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0.5</w:t>
            </w:r>
            <w:r w:rsidR="00D11406" w:rsidRPr="00811AA8">
              <w:rPr>
                <w:rFonts w:ascii="Times New Roman" w:hAnsi="Times New Roman" w:cs="Times New Roman"/>
                <w:color w:val="000000"/>
              </w:rPr>
              <w:t>1</w:t>
            </w:r>
          </w:p>
          <w:p w14:paraId="06DDE8A8" w14:textId="7413619E"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0FB53F35" w14:textId="77777777" w:rsidTr="00C03E1C">
        <w:trPr>
          <w:trHeight w:val="317"/>
        </w:trPr>
        <w:tc>
          <w:tcPr>
            <w:tcW w:w="2520" w:type="dxa"/>
            <w:hideMark/>
          </w:tcPr>
          <w:p w14:paraId="65FC6809" w14:textId="6BB95B86" w:rsidR="008615B4" w:rsidRPr="00811AA8" w:rsidRDefault="00D87985" w:rsidP="00601809">
            <w:pPr>
              <w:keepNext/>
              <w:spacing w:line="240" w:lineRule="auto"/>
              <w:rPr>
                <w:rFonts w:ascii="Times New Roman" w:hAnsi="Times New Roman" w:cs="Times New Roman"/>
                <w:b/>
                <w:bCs/>
                <w:color w:val="000000" w:themeColor="text1"/>
                <w:lang w:eastAsia="it-IT" w:bidi="bn-BD"/>
              </w:rPr>
            </w:pPr>
            <w:r>
              <w:rPr>
                <w:rFonts w:ascii="Times New Roman" w:hAnsi="Times New Roman" w:cs="Times New Roman"/>
                <w:b/>
                <w:bCs/>
                <w:color w:val="000000" w:themeColor="text1"/>
                <w:lang w:eastAsia="it-IT" w:bidi="bn-BD"/>
              </w:rPr>
              <w:t>different</w:t>
            </w:r>
            <w:r w:rsidR="008615B4" w:rsidRPr="00811AA8">
              <w:rPr>
                <w:rFonts w:ascii="Times New Roman" w:hAnsi="Times New Roman" w:cs="Times New Roman"/>
                <w:b/>
                <w:bCs/>
                <w:color w:val="000000" w:themeColor="text1"/>
                <w:lang w:eastAsia="it-IT" w:bidi="bn-BD"/>
              </w:rPr>
              <w:t xml:space="preserve"> gender </w:t>
            </w:r>
            <w:r w:rsidR="00ED3604">
              <w:rPr>
                <w:rFonts w:ascii="Times New Roman" w:hAnsi="Times New Roman" w:cs="Times New Roman"/>
                <w:b/>
                <w:bCs/>
                <w:color w:val="000000" w:themeColor="text1"/>
                <w:lang w:eastAsia="it-IT" w:bidi="bn-BD"/>
              </w:rPr>
              <w:t>(vs. same gender)</w:t>
            </w:r>
          </w:p>
        </w:tc>
        <w:tc>
          <w:tcPr>
            <w:tcW w:w="2160" w:type="dxa"/>
            <w:hideMark/>
          </w:tcPr>
          <w:p w14:paraId="1A3223B5" w14:textId="4CBB44C5" w:rsidR="00D11406" w:rsidRPr="00C03E1C"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 xml:space="preserve">0.20 </w:t>
            </w:r>
            <w:r w:rsidR="00D11406" w:rsidRPr="00811AA8">
              <w:rPr>
                <w:rFonts w:ascii="Times New Roman" w:hAnsi="Times New Roman" w:cs="Times New Roman"/>
                <w:color w:val="000000" w:themeColor="text1"/>
                <w:lang w:val="it-IT" w:eastAsia="it-IT" w:bidi="bn-BD"/>
              </w:rPr>
              <w:t>(</w:t>
            </w:r>
            <w:r w:rsidR="00D11406" w:rsidRPr="00811AA8">
              <w:rPr>
                <w:rFonts w:ascii="Times New Roman" w:hAnsi="Times New Roman" w:cs="Times New Roman"/>
                <w:color w:val="000000"/>
              </w:rPr>
              <w:t>0.31)</w:t>
            </w:r>
          </w:p>
          <w:p w14:paraId="1F301D21" w14:textId="5D99B3FF"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6336D5C8" w14:textId="620C651C" w:rsidR="00D11406" w:rsidRPr="00811AA8" w:rsidRDefault="00D11406" w:rsidP="00601809">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0.65</w:t>
            </w:r>
          </w:p>
          <w:p w14:paraId="13DA3822" w14:textId="64621B80"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10163334" w14:textId="137C45C0" w:rsidR="00D11406" w:rsidRPr="00811AA8"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0.53</w:t>
            </w:r>
          </w:p>
          <w:p w14:paraId="35A82C38" w14:textId="22C5E1AE"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6C92D93F" w14:textId="77777777" w:rsidTr="00C03E1C">
        <w:trPr>
          <w:trHeight w:val="317"/>
        </w:trPr>
        <w:tc>
          <w:tcPr>
            <w:tcW w:w="2520" w:type="dxa"/>
            <w:hideMark/>
          </w:tcPr>
          <w:p w14:paraId="37468615" w14:textId="0F5A1326" w:rsidR="008615B4" w:rsidRPr="00811AA8" w:rsidRDefault="008615B4" w:rsidP="00601809">
            <w:pPr>
              <w:keepNext/>
              <w:spacing w:line="240" w:lineRule="auto"/>
              <w:rPr>
                <w:rFonts w:ascii="Times New Roman" w:hAnsi="Times New Roman" w:cs="Times New Roman"/>
                <w:b/>
                <w:bCs/>
                <w:color w:val="000000" w:themeColor="text1"/>
                <w:lang w:eastAsia="it-IT" w:bidi="bn-BD"/>
              </w:rPr>
            </w:pPr>
            <w:r w:rsidRPr="00811AA8">
              <w:rPr>
                <w:rFonts w:ascii="Times New Roman" w:hAnsi="Times New Roman" w:cs="Times New Roman"/>
                <w:b/>
                <w:bCs/>
                <w:color w:val="000000" w:themeColor="text1"/>
                <w:lang w:eastAsia="it-IT" w:bidi="bn-BD"/>
              </w:rPr>
              <w:t xml:space="preserve">subject*goal </w:t>
            </w:r>
          </w:p>
        </w:tc>
        <w:tc>
          <w:tcPr>
            <w:tcW w:w="2160" w:type="dxa"/>
            <w:hideMark/>
          </w:tcPr>
          <w:p w14:paraId="51B89F37" w14:textId="00E8622C" w:rsidR="00D11406" w:rsidRPr="00811AA8"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1.0</w:t>
            </w:r>
            <w:r w:rsidR="005F195D">
              <w:rPr>
                <w:rFonts w:ascii="Times New Roman" w:hAnsi="Times New Roman" w:cs="Times New Roman"/>
                <w:color w:val="000000"/>
              </w:rPr>
              <w:t>6</w:t>
            </w:r>
            <w:r>
              <w:rPr>
                <w:rFonts w:ascii="Times New Roman" w:hAnsi="Times New Roman" w:cs="Times New Roman"/>
                <w:color w:val="000000"/>
              </w:rPr>
              <w:t xml:space="preserve"> </w:t>
            </w:r>
            <w:r w:rsidR="00D11406" w:rsidRPr="00811AA8">
              <w:rPr>
                <w:rFonts w:ascii="Times New Roman" w:hAnsi="Times New Roman" w:cs="Times New Roman"/>
                <w:color w:val="000000"/>
              </w:rPr>
              <w:t>(0.64)</w:t>
            </w:r>
          </w:p>
          <w:p w14:paraId="2792A574" w14:textId="1C6FA46F"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081FCBC1" w14:textId="77777777" w:rsidR="00D11406" w:rsidRPr="00811AA8" w:rsidRDefault="00D11406" w:rsidP="00601809">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1.64</w:t>
            </w:r>
          </w:p>
          <w:p w14:paraId="3FE2141B" w14:textId="0203F019"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7CD74540" w14:textId="2A7F83A3" w:rsidR="00D11406" w:rsidRPr="00811AA8"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0.12</w:t>
            </w:r>
          </w:p>
          <w:p w14:paraId="5F2A15CA" w14:textId="6C1EA447"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3B8B1087" w14:textId="77777777" w:rsidTr="00C03E1C">
        <w:trPr>
          <w:trHeight w:val="317"/>
        </w:trPr>
        <w:tc>
          <w:tcPr>
            <w:tcW w:w="2520" w:type="dxa"/>
            <w:hideMark/>
          </w:tcPr>
          <w:p w14:paraId="58A5312F" w14:textId="5F6DE181" w:rsidR="008615B4" w:rsidRPr="00811AA8" w:rsidRDefault="008615B4" w:rsidP="00601809">
            <w:pPr>
              <w:keepNext/>
              <w:spacing w:line="240" w:lineRule="auto"/>
              <w:rPr>
                <w:rFonts w:ascii="Times New Roman" w:hAnsi="Times New Roman" w:cs="Times New Roman"/>
                <w:b/>
                <w:bCs/>
                <w:color w:val="000000" w:themeColor="text1"/>
                <w:lang w:eastAsia="it-IT" w:bidi="bn-BD"/>
              </w:rPr>
            </w:pPr>
            <w:r w:rsidRPr="00811AA8">
              <w:rPr>
                <w:rFonts w:ascii="Times New Roman" w:hAnsi="Times New Roman" w:cs="Times New Roman"/>
                <w:b/>
                <w:bCs/>
                <w:color w:val="000000" w:themeColor="text1"/>
                <w:lang w:eastAsia="it-IT" w:bidi="bn-BD"/>
              </w:rPr>
              <w:t xml:space="preserve">goal*same gender </w:t>
            </w:r>
          </w:p>
        </w:tc>
        <w:tc>
          <w:tcPr>
            <w:tcW w:w="2160" w:type="dxa"/>
            <w:hideMark/>
          </w:tcPr>
          <w:p w14:paraId="60859D62" w14:textId="3B90AC5A" w:rsidR="00D11406" w:rsidRPr="00811AA8"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 xml:space="preserve">0.79 </w:t>
            </w:r>
            <w:r w:rsidR="00D11406" w:rsidRPr="00811AA8">
              <w:rPr>
                <w:rFonts w:ascii="Times New Roman" w:hAnsi="Times New Roman" w:cs="Times New Roman"/>
                <w:color w:val="000000"/>
              </w:rPr>
              <w:t>(0.6</w:t>
            </w:r>
            <w:r w:rsidR="005F195D">
              <w:rPr>
                <w:rFonts w:ascii="Times New Roman" w:hAnsi="Times New Roman" w:cs="Times New Roman"/>
                <w:color w:val="000000"/>
              </w:rPr>
              <w:t>3</w:t>
            </w:r>
            <w:r w:rsidR="00D11406" w:rsidRPr="00811AA8">
              <w:rPr>
                <w:rFonts w:ascii="Times New Roman" w:hAnsi="Times New Roman" w:cs="Times New Roman"/>
                <w:color w:val="000000"/>
              </w:rPr>
              <w:t>)</w:t>
            </w:r>
          </w:p>
          <w:p w14:paraId="545CB61C" w14:textId="6E9136A5"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6F9EB870" w14:textId="77777777" w:rsidR="00D11406" w:rsidRPr="00811AA8" w:rsidRDefault="00D11406" w:rsidP="00601809">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1.26</w:t>
            </w:r>
          </w:p>
          <w:p w14:paraId="03C32871" w14:textId="53EA5CA3"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2A050643" w14:textId="3C0772A4" w:rsidR="00D11406" w:rsidRPr="00811AA8"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0.22</w:t>
            </w:r>
          </w:p>
          <w:p w14:paraId="70F3297A" w14:textId="60F0CD6D"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811AA8" w14:paraId="37205D45" w14:textId="77777777" w:rsidTr="00C03E1C">
        <w:trPr>
          <w:trHeight w:val="317"/>
        </w:trPr>
        <w:tc>
          <w:tcPr>
            <w:tcW w:w="2520" w:type="dxa"/>
            <w:hideMark/>
          </w:tcPr>
          <w:p w14:paraId="6105D166" w14:textId="15A404A3" w:rsidR="008615B4" w:rsidRPr="00811AA8" w:rsidRDefault="008615B4" w:rsidP="00601809">
            <w:pPr>
              <w:keepNext/>
              <w:spacing w:line="240" w:lineRule="auto"/>
              <w:rPr>
                <w:rFonts w:ascii="Times New Roman" w:hAnsi="Times New Roman" w:cs="Times New Roman"/>
                <w:b/>
                <w:bCs/>
                <w:color w:val="000000" w:themeColor="text1"/>
                <w:lang w:eastAsia="it-IT" w:bidi="bn-BD"/>
              </w:rPr>
            </w:pPr>
            <w:r w:rsidRPr="00811AA8">
              <w:rPr>
                <w:rFonts w:ascii="Times New Roman" w:hAnsi="Times New Roman" w:cs="Times New Roman"/>
                <w:b/>
                <w:bCs/>
                <w:color w:val="000000" w:themeColor="text1"/>
                <w:lang w:eastAsia="it-IT" w:bidi="bn-BD"/>
              </w:rPr>
              <w:t xml:space="preserve">subject*same gender </w:t>
            </w:r>
          </w:p>
        </w:tc>
        <w:tc>
          <w:tcPr>
            <w:tcW w:w="2160" w:type="dxa"/>
            <w:hideMark/>
          </w:tcPr>
          <w:p w14:paraId="6560B3C0" w14:textId="28C2F21F" w:rsidR="00D11406" w:rsidRPr="00811AA8"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 xml:space="preserve">-0.07 </w:t>
            </w:r>
            <w:r w:rsidR="00D11406" w:rsidRPr="00811AA8">
              <w:rPr>
                <w:rFonts w:ascii="Times New Roman" w:hAnsi="Times New Roman" w:cs="Times New Roman"/>
                <w:color w:val="000000"/>
              </w:rPr>
              <w:t>(0.6</w:t>
            </w:r>
            <w:r w:rsidR="005F195D">
              <w:rPr>
                <w:rFonts w:ascii="Times New Roman" w:hAnsi="Times New Roman" w:cs="Times New Roman"/>
                <w:color w:val="000000"/>
              </w:rPr>
              <w:t>4</w:t>
            </w:r>
            <w:r w:rsidR="00D11406" w:rsidRPr="00811AA8">
              <w:rPr>
                <w:rFonts w:ascii="Times New Roman" w:hAnsi="Times New Roman" w:cs="Times New Roman"/>
                <w:color w:val="000000"/>
              </w:rPr>
              <w:t>)</w:t>
            </w:r>
          </w:p>
          <w:p w14:paraId="373F2566" w14:textId="1105C43D"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47406C7B" w14:textId="77777777" w:rsidR="00D11406" w:rsidRPr="00811AA8" w:rsidRDefault="00D11406" w:rsidP="00601809">
            <w:pPr>
              <w:keepNext/>
              <w:spacing w:line="240" w:lineRule="auto"/>
              <w:jc w:val="right"/>
              <w:rPr>
                <w:rFonts w:ascii="Times New Roman" w:hAnsi="Times New Roman" w:cs="Times New Roman"/>
                <w:color w:val="000000"/>
              </w:rPr>
            </w:pPr>
            <w:r w:rsidRPr="00811AA8">
              <w:rPr>
                <w:rFonts w:ascii="Times New Roman" w:hAnsi="Times New Roman" w:cs="Times New Roman"/>
                <w:color w:val="000000"/>
              </w:rPr>
              <w:t>-0.12</w:t>
            </w:r>
          </w:p>
          <w:p w14:paraId="0C8A90C0" w14:textId="25461262"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4F6D2B22" w14:textId="35A96CC0" w:rsidR="00D11406" w:rsidRPr="00811AA8"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0.91</w:t>
            </w:r>
          </w:p>
          <w:p w14:paraId="3ADFCF4C" w14:textId="0C3BF240" w:rsidR="008615B4" w:rsidRPr="00811AA8"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r>
      <w:tr w:rsidR="008615B4" w:rsidRPr="002C5AA6" w14:paraId="6228E52E" w14:textId="77777777" w:rsidTr="00C03E1C">
        <w:trPr>
          <w:trHeight w:val="317"/>
        </w:trPr>
        <w:tc>
          <w:tcPr>
            <w:tcW w:w="2520" w:type="dxa"/>
            <w:hideMark/>
          </w:tcPr>
          <w:p w14:paraId="6FA6DE8E" w14:textId="4567DCE9" w:rsidR="008615B4" w:rsidRPr="002C5AA6" w:rsidRDefault="008615B4" w:rsidP="00601809">
            <w:pPr>
              <w:keepNext/>
              <w:spacing w:line="240" w:lineRule="auto"/>
              <w:rPr>
                <w:rFonts w:ascii="Times New Roman" w:hAnsi="Times New Roman" w:cs="Times New Roman"/>
                <w:b/>
                <w:bCs/>
                <w:color w:val="000000" w:themeColor="text1"/>
                <w:lang w:eastAsia="it-IT" w:bidi="bn-BD"/>
              </w:rPr>
            </w:pPr>
            <w:r w:rsidRPr="002C5AA6">
              <w:rPr>
                <w:rFonts w:ascii="Times New Roman" w:hAnsi="Times New Roman" w:cs="Times New Roman"/>
                <w:b/>
                <w:bCs/>
                <w:color w:val="000000" w:themeColor="text1"/>
                <w:lang w:eastAsia="it-IT" w:bidi="bn-BD"/>
              </w:rPr>
              <w:t xml:space="preserve">subject*goal*same gender </w:t>
            </w:r>
          </w:p>
        </w:tc>
        <w:tc>
          <w:tcPr>
            <w:tcW w:w="2160" w:type="dxa"/>
            <w:hideMark/>
          </w:tcPr>
          <w:p w14:paraId="1C17AA1C" w14:textId="59CF5804" w:rsidR="00D11406" w:rsidRPr="00C03E1C"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 xml:space="preserve">1.24 </w:t>
            </w:r>
            <w:r w:rsidR="00D11406" w:rsidRPr="002C5AA6">
              <w:rPr>
                <w:rFonts w:ascii="Times New Roman" w:hAnsi="Times New Roman" w:cs="Times New Roman"/>
                <w:color w:val="000000" w:themeColor="text1"/>
                <w:lang w:val="it-IT" w:eastAsia="it-IT" w:bidi="bn-BD"/>
              </w:rPr>
              <w:t>(</w:t>
            </w:r>
            <w:r w:rsidR="00D11406" w:rsidRPr="002C5AA6">
              <w:rPr>
                <w:rFonts w:ascii="Times New Roman" w:hAnsi="Times New Roman" w:cs="Times New Roman"/>
                <w:color w:val="000000"/>
              </w:rPr>
              <w:t>1.28)</w:t>
            </w:r>
          </w:p>
          <w:p w14:paraId="6FB4DA28" w14:textId="2703C90F" w:rsidR="008615B4" w:rsidRPr="002C5AA6"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395EBC32" w14:textId="77777777" w:rsidR="00D11406" w:rsidRPr="002C5AA6" w:rsidRDefault="00D11406" w:rsidP="00601809">
            <w:pPr>
              <w:keepNext/>
              <w:spacing w:line="240" w:lineRule="auto"/>
              <w:jc w:val="right"/>
              <w:rPr>
                <w:rFonts w:ascii="Times New Roman" w:hAnsi="Times New Roman" w:cs="Times New Roman"/>
                <w:color w:val="000000"/>
              </w:rPr>
            </w:pPr>
            <w:r w:rsidRPr="002C5AA6">
              <w:rPr>
                <w:rFonts w:ascii="Times New Roman" w:hAnsi="Times New Roman" w:cs="Times New Roman"/>
                <w:color w:val="000000"/>
              </w:rPr>
              <w:t>0.97</w:t>
            </w:r>
          </w:p>
          <w:p w14:paraId="08221204" w14:textId="2DD00009" w:rsidR="008615B4" w:rsidRPr="002C5AA6"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c>
          <w:tcPr>
            <w:tcW w:w="2160" w:type="dxa"/>
            <w:hideMark/>
          </w:tcPr>
          <w:p w14:paraId="14691D60" w14:textId="639ABCC6" w:rsidR="00D11406" w:rsidRPr="002C5AA6" w:rsidRDefault="00C03E1C" w:rsidP="00601809">
            <w:pPr>
              <w:keepNext/>
              <w:spacing w:line="240" w:lineRule="auto"/>
              <w:jc w:val="right"/>
              <w:rPr>
                <w:rFonts w:ascii="Times New Roman" w:hAnsi="Times New Roman" w:cs="Times New Roman"/>
                <w:color w:val="000000"/>
              </w:rPr>
            </w:pPr>
            <w:r>
              <w:rPr>
                <w:rFonts w:ascii="Times New Roman" w:hAnsi="Times New Roman" w:cs="Times New Roman"/>
                <w:color w:val="000000"/>
              </w:rPr>
              <w:t>0.34</w:t>
            </w:r>
          </w:p>
          <w:p w14:paraId="1E19E312" w14:textId="1F9E1B22" w:rsidR="008615B4" w:rsidRPr="002C5AA6" w:rsidRDefault="008615B4" w:rsidP="00601809">
            <w:pPr>
              <w:keepNext/>
              <w:spacing w:line="240" w:lineRule="auto"/>
              <w:ind w:firstLine="720"/>
              <w:jc w:val="right"/>
              <w:rPr>
                <w:rFonts w:ascii="Times New Roman" w:hAnsi="Times New Roman" w:cs="Times New Roman"/>
                <w:color w:val="000000" w:themeColor="text1"/>
                <w:lang w:val="it-IT" w:eastAsia="it-IT" w:bidi="bn-BD"/>
              </w:rPr>
            </w:pPr>
          </w:p>
        </w:tc>
      </w:tr>
    </w:tbl>
    <w:p w14:paraId="73B0B3A9" w14:textId="03C3D382" w:rsidR="00A71F62" w:rsidRDefault="00A71F62" w:rsidP="00A71F62">
      <w:pPr>
        <w:keepNext/>
        <w:rPr>
          <w:iCs/>
        </w:rPr>
      </w:pPr>
      <w:r>
        <w:rPr>
          <w:iCs/>
        </w:rPr>
        <w:t xml:space="preserve">* The random slopes for different gender and goal continuation by participant </w:t>
      </w:r>
      <w:r w:rsidR="00753F29">
        <w:rPr>
          <w:iCs/>
        </w:rPr>
        <w:t>were</w:t>
      </w:r>
      <w:r>
        <w:rPr>
          <w:iCs/>
        </w:rPr>
        <w:t xml:space="preserve"> estimated to be zero by the model and therefore excluded.</w:t>
      </w:r>
    </w:p>
    <w:p w14:paraId="74361C97" w14:textId="5AF3C198" w:rsidR="00C03E1C" w:rsidRDefault="00FF61B2" w:rsidP="00FF61B2">
      <w:pPr>
        <w:spacing w:line="240" w:lineRule="auto"/>
        <w:rPr>
          <w:b/>
          <w:bCs/>
          <w:color w:val="000000" w:themeColor="text1"/>
        </w:rPr>
      </w:pPr>
      <w:r>
        <w:rPr>
          <w:b/>
          <w:bCs/>
          <w:color w:val="000000" w:themeColor="text1"/>
        </w:rPr>
        <w:br w:type="page"/>
      </w:r>
    </w:p>
    <w:p w14:paraId="010D1F1A" w14:textId="6AF2F606" w:rsidR="008615B4" w:rsidRPr="002C5AA6" w:rsidRDefault="008615B4" w:rsidP="001E51A1">
      <w:pPr>
        <w:jc w:val="both"/>
        <w:rPr>
          <w:b/>
          <w:bCs/>
          <w:color w:val="000000" w:themeColor="text1"/>
        </w:rPr>
      </w:pPr>
      <w:r w:rsidRPr="002C5AA6">
        <w:rPr>
          <w:b/>
          <w:bCs/>
          <w:color w:val="000000" w:themeColor="text1"/>
        </w:rPr>
        <w:lastRenderedPageBreak/>
        <w:t xml:space="preserve">Experiment 2 Models </w:t>
      </w:r>
    </w:p>
    <w:p w14:paraId="79479E08" w14:textId="305796BC" w:rsidR="00811AA8" w:rsidRPr="002C5AA6" w:rsidRDefault="008615B4" w:rsidP="001E51A1">
      <w:r w:rsidRPr="002C5AA6">
        <w:rPr>
          <w:i/>
          <w:iCs/>
        </w:rPr>
        <w:t xml:space="preserve">Table </w:t>
      </w:r>
      <w:r w:rsidR="004D0DF6">
        <w:rPr>
          <w:i/>
          <w:iCs/>
        </w:rPr>
        <w:t>9</w:t>
      </w:r>
      <w:r w:rsidRPr="002C5AA6">
        <w:t xml:space="preserve">. </w:t>
      </w:r>
      <w:r w:rsidR="00EB7437">
        <w:t xml:space="preserve">Experiment 2: </w:t>
      </w:r>
      <w:r w:rsidRPr="002C5AA6">
        <w:t>Name/description rate model</w:t>
      </w:r>
    </w:p>
    <w:tbl>
      <w:tblPr>
        <w:tblStyle w:val="TableGrid"/>
        <w:tblpPr w:leftFromText="141" w:rightFromText="141" w:vertAnchor="text" w:tblpY="1"/>
        <w:tblW w:w="9000" w:type="dxa"/>
        <w:tblLook w:val="04A0" w:firstRow="1" w:lastRow="0" w:firstColumn="1" w:lastColumn="0" w:noHBand="0" w:noVBand="1"/>
      </w:tblPr>
      <w:tblGrid>
        <w:gridCol w:w="2520"/>
        <w:gridCol w:w="2160"/>
        <w:gridCol w:w="2160"/>
        <w:gridCol w:w="2160"/>
      </w:tblGrid>
      <w:tr w:rsidR="00811AA8" w:rsidRPr="002C5AA6" w14:paraId="4720F500" w14:textId="77777777" w:rsidTr="00C03E1C">
        <w:trPr>
          <w:trHeight w:val="317"/>
        </w:trPr>
        <w:tc>
          <w:tcPr>
            <w:tcW w:w="2520" w:type="dxa"/>
            <w:hideMark/>
          </w:tcPr>
          <w:p w14:paraId="04F4A133" w14:textId="77777777" w:rsidR="00811AA8" w:rsidRPr="002C5AA6" w:rsidRDefault="00811AA8" w:rsidP="00601809">
            <w:pPr>
              <w:keepNext/>
              <w:spacing w:line="240" w:lineRule="auto"/>
              <w:rPr>
                <w:rFonts w:ascii="Times New Roman" w:hAnsi="Times New Roman" w:cs="Times New Roman"/>
                <w:b/>
                <w:bCs/>
                <w:lang w:val="it-IT"/>
              </w:rPr>
            </w:pPr>
            <w:r w:rsidRPr="002C5AA6">
              <w:rPr>
                <w:rFonts w:ascii="Times New Roman" w:hAnsi="Times New Roman" w:cs="Times New Roman"/>
                <w:b/>
                <w:bCs/>
              </w:rPr>
              <w:t>Effect</w:t>
            </w:r>
          </w:p>
        </w:tc>
        <w:tc>
          <w:tcPr>
            <w:tcW w:w="2160" w:type="dxa"/>
            <w:hideMark/>
          </w:tcPr>
          <w:p w14:paraId="37D8D6BA" w14:textId="77777777" w:rsidR="00811AA8" w:rsidRPr="002C5AA6" w:rsidRDefault="00811AA8" w:rsidP="00601809">
            <w:pPr>
              <w:keepNext/>
              <w:spacing w:line="240" w:lineRule="auto"/>
              <w:rPr>
                <w:rFonts w:ascii="Times New Roman" w:hAnsi="Times New Roman" w:cs="Times New Roman"/>
                <w:b/>
                <w:bCs/>
              </w:rPr>
            </w:pPr>
            <w:r w:rsidRPr="002C5AA6">
              <w:rPr>
                <w:rFonts w:ascii="Times New Roman" w:hAnsi="Times New Roman" w:cs="Times New Roman"/>
                <w:b/>
                <w:bCs/>
              </w:rPr>
              <w:t xml:space="preserve">Estimate </w:t>
            </w:r>
          </w:p>
          <w:p w14:paraId="14B27610" w14:textId="77777777" w:rsidR="00811AA8" w:rsidRPr="002C5AA6" w:rsidRDefault="00811AA8" w:rsidP="00601809">
            <w:pPr>
              <w:keepNext/>
              <w:spacing w:line="240" w:lineRule="auto"/>
              <w:rPr>
                <w:rFonts w:ascii="Times New Roman" w:hAnsi="Times New Roman" w:cs="Times New Roman"/>
                <w:b/>
                <w:bCs/>
              </w:rPr>
            </w:pPr>
            <w:r w:rsidRPr="002C5AA6">
              <w:rPr>
                <w:rFonts w:ascii="Times New Roman" w:hAnsi="Times New Roman" w:cs="Times New Roman"/>
                <w:b/>
                <w:bCs/>
              </w:rPr>
              <w:t>(Standard Error)</w:t>
            </w:r>
          </w:p>
        </w:tc>
        <w:tc>
          <w:tcPr>
            <w:tcW w:w="2160" w:type="dxa"/>
            <w:hideMark/>
          </w:tcPr>
          <w:p w14:paraId="1D680B26" w14:textId="77777777" w:rsidR="00811AA8" w:rsidRPr="002C5AA6" w:rsidRDefault="00811AA8" w:rsidP="00601809">
            <w:pPr>
              <w:keepNext/>
              <w:spacing w:line="240" w:lineRule="auto"/>
              <w:rPr>
                <w:rFonts w:ascii="Times New Roman" w:hAnsi="Times New Roman" w:cs="Times New Roman"/>
                <w:b/>
                <w:bCs/>
              </w:rPr>
            </w:pPr>
            <w:r w:rsidRPr="002C5AA6">
              <w:rPr>
                <w:rFonts w:ascii="Times New Roman" w:hAnsi="Times New Roman" w:cs="Times New Roman"/>
                <w:b/>
                <w:bCs/>
              </w:rPr>
              <w:t>t Value</w:t>
            </w:r>
          </w:p>
        </w:tc>
        <w:tc>
          <w:tcPr>
            <w:tcW w:w="2160" w:type="dxa"/>
            <w:hideMark/>
          </w:tcPr>
          <w:p w14:paraId="3B806149" w14:textId="77777777" w:rsidR="00811AA8" w:rsidRPr="002C5AA6" w:rsidRDefault="00811AA8" w:rsidP="00601809">
            <w:pPr>
              <w:keepNext/>
              <w:spacing w:line="240" w:lineRule="auto"/>
              <w:rPr>
                <w:rFonts w:ascii="Times New Roman" w:hAnsi="Times New Roman" w:cs="Times New Roman"/>
                <w:b/>
                <w:bCs/>
              </w:rPr>
            </w:pPr>
            <w:r w:rsidRPr="002C5AA6">
              <w:rPr>
                <w:rFonts w:ascii="Times New Roman" w:hAnsi="Times New Roman" w:cs="Times New Roman"/>
                <w:b/>
                <w:bCs/>
              </w:rPr>
              <w:t>Pr &gt; |t|</w:t>
            </w:r>
          </w:p>
        </w:tc>
      </w:tr>
      <w:tr w:rsidR="00811AA8" w:rsidRPr="002C5AA6" w14:paraId="6CCFB8B2" w14:textId="77777777" w:rsidTr="00C03E1C">
        <w:trPr>
          <w:trHeight w:val="317"/>
        </w:trPr>
        <w:tc>
          <w:tcPr>
            <w:tcW w:w="2520" w:type="dxa"/>
            <w:hideMark/>
          </w:tcPr>
          <w:p w14:paraId="5663E5C7" w14:textId="77777777" w:rsidR="00811AA8" w:rsidRPr="002C5AA6" w:rsidRDefault="00811AA8"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subject continuation</w:t>
            </w:r>
          </w:p>
        </w:tc>
        <w:tc>
          <w:tcPr>
            <w:tcW w:w="2160" w:type="dxa"/>
            <w:hideMark/>
          </w:tcPr>
          <w:p w14:paraId="0B014D1A" w14:textId="4F9B0940" w:rsidR="00811AA8" w:rsidRPr="00C03E1C" w:rsidRDefault="001514AA"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 xml:space="preserve">-3.11 </w:t>
            </w:r>
            <w:r w:rsidR="00C03E1C">
              <w:rPr>
                <w:rFonts w:ascii="Times New Roman" w:hAnsi="Times New Roman" w:cs="Times New Roman"/>
                <w:color w:val="000000"/>
                <w:lang w:val="it-IT" w:eastAsia="it-IT" w:bidi="bn-BD"/>
              </w:rPr>
              <w:t xml:space="preserve"> </w:t>
            </w:r>
            <w:r w:rsidRPr="00811AA8">
              <w:rPr>
                <w:rFonts w:ascii="Times New Roman" w:hAnsi="Times New Roman" w:cs="Times New Roman"/>
                <w:color w:val="000000"/>
                <w:lang w:val="it-IT" w:eastAsia="it-IT" w:bidi="bn-BD"/>
              </w:rPr>
              <w:t>(0.4)</w:t>
            </w:r>
          </w:p>
          <w:p w14:paraId="4BF79A63" w14:textId="77777777" w:rsidR="00811AA8" w:rsidRPr="002C5AA6" w:rsidRDefault="00811AA8" w:rsidP="00601809">
            <w:pPr>
              <w:keepNext/>
              <w:spacing w:line="240" w:lineRule="auto"/>
              <w:ind w:firstLine="720"/>
              <w:jc w:val="right"/>
              <w:rPr>
                <w:rFonts w:ascii="Times New Roman" w:hAnsi="Times New Roman" w:cs="Times New Roman"/>
                <w:color w:val="000000" w:themeColor="text1"/>
              </w:rPr>
            </w:pPr>
          </w:p>
        </w:tc>
        <w:tc>
          <w:tcPr>
            <w:tcW w:w="2160" w:type="dxa"/>
            <w:hideMark/>
          </w:tcPr>
          <w:p w14:paraId="6A1A18D0" w14:textId="2DF0F6E4" w:rsidR="00811AA8" w:rsidRPr="002C5AA6" w:rsidRDefault="001514AA"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w:t>
            </w:r>
            <w:r w:rsidR="0018584C">
              <w:rPr>
                <w:rFonts w:ascii="Times New Roman" w:hAnsi="Times New Roman" w:cs="Times New Roman"/>
                <w:color w:val="000000"/>
                <w:lang w:val="it-IT" w:eastAsia="it-IT" w:bidi="bn-BD"/>
              </w:rPr>
              <w:t>7.</w:t>
            </w:r>
            <w:r w:rsidRPr="00811AA8">
              <w:rPr>
                <w:rFonts w:ascii="Times New Roman" w:hAnsi="Times New Roman" w:cs="Times New Roman"/>
                <w:color w:val="000000"/>
                <w:lang w:val="it-IT" w:eastAsia="it-IT" w:bidi="bn-BD"/>
              </w:rPr>
              <w:t>8</w:t>
            </w:r>
            <w:r w:rsidR="0018584C">
              <w:rPr>
                <w:rFonts w:ascii="Times New Roman" w:hAnsi="Times New Roman" w:cs="Times New Roman"/>
                <w:color w:val="000000"/>
                <w:lang w:val="it-IT" w:eastAsia="it-IT" w:bidi="bn-BD"/>
              </w:rPr>
              <w:t>2</w:t>
            </w:r>
          </w:p>
        </w:tc>
        <w:tc>
          <w:tcPr>
            <w:tcW w:w="2160" w:type="dxa"/>
            <w:hideMark/>
          </w:tcPr>
          <w:p w14:paraId="01AD34D0" w14:textId="7320929A" w:rsidR="00811AA8" w:rsidRPr="002C5AA6" w:rsidRDefault="001514AA"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&lt;.0001</w:t>
            </w:r>
          </w:p>
        </w:tc>
      </w:tr>
      <w:tr w:rsidR="00811AA8" w:rsidRPr="002C5AA6" w14:paraId="51928761" w14:textId="77777777" w:rsidTr="00C03E1C">
        <w:trPr>
          <w:trHeight w:val="317"/>
        </w:trPr>
        <w:tc>
          <w:tcPr>
            <w:tcW w:w="2520" w:type="dxa"/>
            <w:hideMark/>
          </w:tcPr>
          <w:p w14:paraId="77ED7A27" w14:textId="77777777" w:rsidR="00811AA8" w:rsidRPr="002C5AA6" w:rsidRDefault="00811AA8" w:rsidP="00601809">
            <w:pPr>
              <w:keepNext/>
              <w:rPr>
                <w:rFonts w:ascii="Times New Roman" w:hAnsi="Times New Roman" w:cs="Times New Roman"/>
                <w:b/>
                <w:bCs/>
                <w:color w:val="000000" w:themeColor="text1"/>
              </w:rPr>
            </w:pPr>
            <w:r w:rsidRPr="002C5AA6">
              <w:rPr>
                <w:rFonts w:ascii="Times New Roman" w:hAnsi="Times New Roman" w:cs="Times New Roman"/>
                <w:b/>
                <w:bCs/>
                <w:color w:val="000000" w:themeColor="text1"/>
              </w:rPr>
              <w:t>goal continuation</w:t>
            </w:r>
          </w:p>
        </w:tc>
        <w:tc>
          <w:tcPr>
            <w:tcW w:w="2160" w:type="dxa"/>
            <w:hideMark/>
          </w:tcPr>
          <w:p w14:paraId="78AD76CC" w14:textId="75BDF21E" w:rsidR="00811AA8" w:rsidRPr="00C03E1C" w:rsidRDefault="001514AA" w:rsidP="00601809">
            <w:pPr>
              <w:keepNext/>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 xml:space="preserve">-1.18 </w:t>
            </w:r>
            <w:r w:rsidR="00C03E1C">
              <w:rPr>
                <w:rFonts w:ascii="Times New Roman" w:hAnsi="Times New Roman" w:cs="Times New Roman"/>
                <w:color w:val="000000"/>
                <w:lang w:val="it-IT" w:eastAsia="it-IT" w:bidi="bn-BD"/>
              </w:rPr>
              <w:t xml:space="preserve"> </w:t>
            </w:r>
            <w:r w:rsidRPr="00811AA8">
              <w:rPr>
                <w:rFonts w:ascii="Times New Roman" w:hAnsi="Times New Roman" w:cs="Times New Roman"/>
                <w:color w:val="000000"/>
                <w:lang w:val="it-IT" w:eastAsia="it-IT" w:bidi="bn-BD"/>
              </w:rPr>
              <w:t>(0.43)</w:t>
            </w:r>
          </w:p>
        </w:tc>
        <w:tc>
          <w:tcPr>
            <w:tcW w:w="2160" w:type="dxa"/>
            <w:hideMark/>
          </w:tcPr>
          <w:p w14:paraId="4C361B64" w14:textId="102C15B1" w:rsidR="00811AA8" w:rsidRPr="002C5AA6" w:rsidRDefault="001514AA" w:rsidP="00601809">
            <w:pPr>
              <w:keepNext/>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w:t>
            </w:r>
            <w:r w:rsidR="00AE60AC">
              <w:rPr>
                <w:rFonts w:ascii="Times New Roman" w:hAnsi="Times New Roman" w:cs="Times New Roman"/>
                <w:color w:val="000000"/>
                <w:lang w:val="it-IT" w:eastAsia="it-IT" w:bidi="bn-BD"/>
              </w:rPr>
              <w:t>2.78</w:t>
            </w:r>
          </w:p>
        </w:tc>
        <w:tc>
          <w:tcPr>
            <w:tcW w:w="2160" w:type="dxa"/>
            <w:hideMark/>
          </w:tcPr>
          <w:p w14:paraId="05F6366C" w14:textId="0741930A" w:rsidR="00811AA8" w:rsidRPr="002C5AA6" w:rsidRDefault="001514AA" w:rsidP="00601809">
            <w:pPr>
              <w:keepNext/>
              <w:jc w:val="right"/>
              <w:rPr>
                <w:rFonts w:ascii="Times New Roman" w:hAnsi="Times New Roman" w:cs="Times New Roman"/>
                <w:color w:val="000000" w:themeColor="text1"/>
              </w:rPr>
            </w:pPr>
            <w:r w:rsidRPr="002C5AA6">
              <w:rPr>
                <w:rFonts w:ascii="Times New Roman" w:hAnsi="Times New Roman" w:cs="Times New Roman"/>
                <w:color w:val="000000"/>
                <w:lang w:val="it-IT" w:eastAsia="it-IT" w:bidi="bn-BD"/>
              </w:rPr>
              <w:t xml:space="preserve"> </w:t>
            </w:r>
            <w:r w:rsidR="00175254">
              <w:rPr>
                <w:rFonts w:ascii="Times New Roman" w:hAnsi="Times New Roman" w:cs="Times New Roman"/>
                <w:color w:val="000000"/>
                <w:lang w:val="it-IT" w:eastAsia="it-IT" w:bidi="bn-BD"/>
              </w:rPr>
              <w:t>0.01</w:t>
            </w:r>
          </w:p>
        </w:tc>
      </w:tr>
      <w:tr w:rsidR="00811AA8" w:rsidRPr="002C5AA6" w14:paraId="274691C6" w14:textId="77777777" w:rsidTr="00C03E1C">
        <w:trPr>
          <w:trHeight w:val="317"/>
        </w:trPr>
        <w:tc>
          <w:tcPr>
            <w:tcW w:w="2520" w:type="dxa"/>
            <w:hideMark/>
          </w:tcPr>
          <w:p w14:paraId="7D606C47" w14:textId="4652A60F" w:rsidR="00811AA8" w:rsidRPr="002C5AA6" w:rsidRDefault="001514AA"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different</w:t>
            </w:r>
            <w:r w:rsidR="00811AA8" w:rsidRPr="002C5AA6">
              <w:rPr>
                <w:rFonts w:ascii="Times New Roman" w:hAnsi="Times New Roman" w:cs="Times New Roman"/>
                <w:b/>
                <w:bCs/>
                <w:color w:val="000000" w:themeColor="text1"/>
              </w:rPr>
              <w:t xml:space="preserve"> gender </w:t>
            </w:r>
            <w:r w:rsidR="00ED3604">
              <w:rPr>
                <w:rFonts w:ascii="Times New Roman" w:hAnsi="Times New Roman" w:cs="Times New Roman"/>
                <w:b/>
                <w:bCs/>
                <w:color w:val="000000" w:themeColor="text1"/>
              </w:rPr>
              <w:t>(vs. same gender)</w:t>
            </w:r>
          </w:p>
        </w:tc>
        <w:tc>
          <w:tcPr>
            <w:tcW w:w="2160" w:type="dxa"/>
            <w:hideMark/>
          </w:tcPr>
          <w:p w14:paraId="3253BBD3" w14:textId="43C84AFD" w:rsidR="00811AA8" w:rsidRPr="00C03E1C" w:rsidRDefault="001514AA"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 xml:space="preserve">-0.67 </w:t>
            </w:r>
            <w:r w:rsidR="00C03E1C">
              <w:rPr>
                <w:rFonts w:ascii="Times New Roman" w:hAnsi="Times New Roman" w:cs="Times New Roman"/>
                <w:color w:val="000000"/>
                <w:lang w:val="it-IT" w:eastAsia="it-IT" w:bidi="bn-BD"/>
              </w:rPr>
              <w:t xml:space="preserve"> </w:t>
            </w:r>
            <w:r w:rsidRPr="00811AA8">
              <w:rPr>
                <w:rFonts w:ascii="Times New Roman" w:hAnsi="Times New Roman" w:cs="Times New Roman"/>
                <w:color w:val="000000"/>
                <w:lang w:val="it-IT" w:eastAsia="it-IT" w:bidi="bn-BD"/>
              </w:rPr>
              <w:t>(0.42)</w:t>
            </w:r>
          </w:p>
        </w:tc>
        <w:tc>
          <w:tcPr>
            <w:tcW w:w="2160" w:type="dxa"/>
            <w:hideMark/>
          </w:tcPr>
          <w:p w14:paraId="6AB3C32C" w14:textId="39A7E2FA" w:rsidR="00811AA8" w:rsidRPr="00175254" w:rsidRDefault="00C3071A" w:rsidP="00601809">
            <w:pPr>
              <w:keepNext/>
              <w:spacing w:line="240" w:lineRule="auto"/>
              <w:jc w:val="right"/>
              <w:rPr>
                <w:rFonts w:ascii="Times New Roman" w:hAnsi="Times New Roman" w:cs="Times New Roman"/>
                <w:color w:val="000000" w:themeColor="text1"/>
              </w:rPr>
            </w:pPr>
            <w:r w:rsidRPr="00175254">
              <w:rPr>
                <w:rFonts w:ascii="Times New Roman" w:hAnsi="Times New Roman" w:cs="Times New Roman"/>
                <w:color w:val="000000"/>
                <w:lang w:val="it-IT" w:eastAsia="it-IT" w:bidi="bn-BD"/>
              </w:rPr>
              <w:t>-1.61</w:t>
            </w:r>
          </w:p>
        </w:tc>
        <w:tc>
          <w:tcPr>
            <w:tcW w:w="2160" w:type="dxa"/>
            <w:hideMark/>
          </w:tcPr>
          <w:p w14:paraId="51F7B77A" w14:textId="3F637CEF" w:rsidR="00811AA8" w:rsidRPr="002C5AA6" w:rsidRDefault="00175254"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0.13</w:t>
            </w:r>
          </w:p>
        </w:tc>
      </w:tr>
      <w:tr w:rsidR="00811AA8" w:rsidRPr="002C5AA6" w14:paraId="58A5B297" w14:textId="77777777" w:rsidTr="00C03E1C">
        <w:trPr>
          <w:trHeight w:val="317"/>
        </w:trPr>
        <w:tc>
          <w:tcPr>
            <w:tcW w:w="2520" w:type="dxa"/>
            <w:hideMark/>
          </w:tcPr>
          <w:p w14:paraId="59531339" w14:textId="7E351975" w:rsidR="00811AA8" w:rsidRPr="002C5AA6" w:rsidRDefault="00811AA8" w:rsidP="00601809">
            <w:pPr>
              <w:keepNext/>
              <w:rPr>
                <w:rFonts w:ascii="Times New Roman" w:hAnsi="Times New Roman" w:cs="Times New Roman"/>
                <w:b/>
                <w:bCs/>
                <w:color w:val="000000" w:themeColor="text1"/>
              </w:rPr>
            </w:pPr>
            <w:r w:rsidRPr="002C5AA6">
              <w:rPr>
                <w:rFonts w:ascii="Times New Roman" w:hAnsi="Times New Roman" w:cs="Times New Roman"/>
                <w:b/>
                <w:bCs/>
                <w:color w:val="000000" w:themeColor="text1"/>
              </w:rPr>
              <w:t xml:space="preserve">subject*goal </w:t>
            </w:r>
          </w:p>
        </w:tc>
        <w:tc>
          <w:tcPr>
            <w:tcW w:w="2160" w:type="dxa"/>
            <w:hideMark/>
          </w:tcPr>
          <w:p w14:paraId="534BD62F" w14:textId="546791CA" w:rsidR="00811AA8" w:rsidRPr="00C03E1C" w:rsidRDefault="001514AA" w:rsidP="00601809">
            <w:pPr>
              <w:keepNext/>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 xml:space="preserve">-0.4 </w:t>
            </w:r>
            <w:r w:rsidR="00C03E1C">
              <w:rPr>
                <w:rFonts w:ascii="Times New Roman" w:hAnsi="Times New Roman" w:cs="Times New Roman"/>
                <w:color w:val="000000"/>
                <w:lang w:val="it-IT" w:eastAsia="it-IT" w:bidi="bn-BD"/>
              </w:rPr>
              <w:t xml:space="preserve"> </w:t>
            </w:r>
            <w:r w:rsidRPr="00811AA8">
              <w:rPr>
                <w:rFonts w:ascii="Times New Roman" w:hAnsi="Times New Roman" w:cs="Times New Roman"/>
                <w:color w:val="000000"/>
                <w:lang w:val="it-IT" w:eastAsia="it-IT" w:bidi="bn-BD"/>
              </w:rPr>
              <w:t>(0.64)</w:t>
            </w:r>
          </w:p>
        </w:tc>
        <w:tc>
          <w:tcPr>
            <w:tcW w:w="2160" w:type="dxa"/>
            <w:hideMark/>
          </w:tcPr>
          <w:p w14:paraId="716C0C74" w14:textId="51081780" w:rsidR="00811AA8" w:rsidRPr="00175254" w:rsidRDefault="00C3071A" w:rsidP="00601809">
            <w:pPr>
              <w:keepNext/>
              <w:jc w:val="right"/>
              <w:rPr>
                <w:rFonts w:ascii="Times New Roman" w:hAnsi="Times New Roman" w:cs="Times New Roman"/>
                <w:color w:val="000000" w:themeColor="text1"/>
              </w:rPr>
            </w:pPr>
            <w:r w:rsidRPr="00175254">
              <w:rPr>
                <w:rFonts w:ascii="Times New Roman" w:hAnsi="Times New Roman" w:cs="Times New Roman"/>
                <w:color w:val="000000"/>
                <w:lang w:val="it-IT" w:eastAsia="it-IT" w:bidi="bn-BD"/>
              </w:rPr>
              <w:t>-0.62</w:t>
            </w:r>
          </w:p>
        </w:tc>
        <w:tc>
          <w:tcPr>
            <w:tcW w:w="2160" w:type="dxa"/>
            <w:hideMark/>
          </w:tcPr>
          <w:p w14:paraId="3EEB0182" w14:textId="6E3A4623" w:rsidR="00811AA8" w:rsidRPr="002C5AA6" w:rsidRDefault="00175254" w:rsidP="00601809">
            <w:pPr>
              <w:keepNext/>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0.54</w:t>
            </w:r>
          </w:p>
        </w:tc>
      </w:tr>
      <w:tr w:rsidR="00811AA8" w:rsidRPr="002C5AA6" w14:paraId="727FF635" w14:textId="77777777" w:rsidTr="00C03E1C">
        <w:trPr>
          <w:trHeight w:val="292"/>
        </w:trPr>
        <w:tc>
          <w:tcPr>
            <w:tcW w:w="2520" w:type="dxa"/>
            <w:hideMark/>
          </w:tcPr>
          <w:p w14:paraId="76CAA17F" w14:textId="77777777" w:rsidR="00811AA8" w:rsidRPr="002C5AA6" w:rsidRDefault="001514AA"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goal*different</w:t>
            </w:r>
            <w:r w:rsidR="00811AA8" w:rsidRPr="002C5AA6">
              <w:rPr>
                <w:rFonts w:ascii="Times New Roman" w:hAnsi="Times New Roman" w:cs="Times New Roman"/>
                <w:b/>
                <w:bCs/>
                <w:color w:val="000000" w:themeColor="text1"/>
              </w:rPr>
              <w:t xml:space="preserve"> gender</w:t>
            </w:r>
          </w:p>
          <w:p w14:paraId="67C126F1" w14:textId="1CC30AEB" w:rsidR="002C5AA6" w:rsidRPr="002C5AA6" w:rsidRDefault="002C5AA6" w:rsidP="00601809">
            <w:pPr>
              <w:keepNext/>
              <w:spacing w:line="240" w:lineRule="auto"/>
              <w:rPr>
                <w:rFonts w:ascii="Times New Roman" w:hAnsi="Times New Roman" w:cs="Times New Roman"/>
                <w:b/>
                <w:bCs/>
                <w:color w:val="000000" w:themeColor="text1"/>
              </w:rPr>
            </w:pPr>
          </w:p>
        </w:tc>
        <w:tc>
          <w:tcPr>
            <w:tcW w:w="2160" w:type="dxa"/>
            <w:hideMark/>
          </w:tcPr>
          <w:p w14:paraId="70E2FEF5" w14:textId="4BD12BB4" w:rsidR="00811AA8" w:rsidRPr="00C03E1C" w:rsidRDefault="002C5AA6"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 xml:space="preserve">1.44 </w:t>
            </w:r>
            <w:r w:rsidR="00C03E1C">
              <w:rPr>
                <w:rFonts w:ascii="Times New Roman" w:hAnsi="Times New Roman" w:cs="Times New Roman"/>
                <w:color w:val="000000"/>
                <w:lang w:val="it-IT" w:eastAsia="it-IT" w:bidi="bn-BD"/>
              </w:rPr>
              <w:t xml:space="preserve"> </w:t>
            </w:r>
            <w:r w:rsidRPr="00811AA8">
              <w:rPr>
                <w:rFonts w:ascii="Times New Roman" w:hAnsi="Times New Roman" w:cs="Times New Roman"/>
                <w:color w:val="000000"/>
                <w:lang w:val="it-IT" w:eastAsia="it-IT" w:bidi="bn-BD"/>
              </w:rPr>
              <w:t>(0.84)</w:t>
            </w:r>
          </w:p>
        </w:tc>
        <w:tc>
          <w:tcPr>
            <w:tcW w:w="2160" w:type="dxa"/>
            <w:hideMark/>
          </w:tcPr>
          <w:p w14:paraId="13B5128B" w14:textId="053F32F1" w:rsidR="00811AA8" w:rsidRPr="00175254" w:rsidRDefault="00C3071A" w:rsidP="00601809">
            <w:pPr>
              <w:keepNext/>
              <w:spacing w:line="240" w:lineRule="auto"/>
              <w:jc w:val="right"/>
              <w:rPr>
                <w:rFonts w:ascii="Times New Roman" w:hAnsi="Times New Roman" w:cs="Times New Roman"/>
                <w:color w:val="000000" w:themeColor="text1"/>
              </w:rPr>
            </w:pPr>
            <w:r w:rsidRPr="00175254">
              <w:rPr>
                <w:rFonts w:ascii="Times New Roman" w:hAnsi="Times New Roman" w:cs="Times New Roman"/>
                <w:color w:val="000000" w:themeColor="text1"/>
              </w:rPr>
              <w:t>1.72</w:t>
            </w:r>
          </w:p>
        </w:tc>
        <w:tc>
          <w:tcPr>
            <w:tcW w:w="2160" w:type="dxa"/>
            <w:hideMark/>
          </w:tcPr>
          <w:p w14:paraId="06EAA31B" w14:textId="70820FFB" w:rsidR="00811AA8" w:rsidRPr="002C5AA6" w:rsidRDefault="00175254"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0.10</w:t>
            </w:r>
          </w:p>
        </w:tc>
      </w:tr>
      <w:tr w:rsidR="002C5AA6" w:rsidRPr="002C5AA6" w14:paraId="10E71E3F" w14:textId="77777777" w:rsidTr="00C03E1C">
        <w:trPr>
          <w:trHeight w:val="292"/>
        </w:trPr>
        <w:tc>
          <w:tcPr>
            <w:tcW w:w="2520" w:type="dxa"/>
            <w:hideMark/>
          </w:tcPr>
          <w:p w14:paraId="32154052" w14:textId="33433C52" w:rsidR="002C5AA6" w:rsidRPr="002C5AA6" w:rsidRDefault="002C5AA6"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 xml:space="preserve">subject*different gender </w:t>
            </w:r>
          </w:p>
        </w:tc>
        <w:tc>
          <w:tcPr>
            <w:tcW w:w="2160" w:type="dxa"/>
            <w:hideMark/>
          </w:tcPr>
          <w:p w14:paraId="00349FF6" w14:textId="4DA86A65" w:rsidR="002C5AA6" w:rsidRPr="00C03E1C" w:rsidRDefault="002C5AA6"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0.25 (0.63)</w:t>
            </w:r>
          </w:p>
        </w:tc>
        <w:tc>
          <w:tcPr>
            <w:tcW w:w="2160" w:type="dxa"/>
            <w:hideMark/>
          </w:tcPr>
          <w:p w14:paraId="7C8CE844" w14:textId="2844B66F" w:rsidR="002C5AA6" w:rsidRPr="00175254" w:rsidRDefault="00C3071A" w:rsidP="00601809">
            <w:pPr>
              <w:keepNext/>
              <w:spacing w:line="240" w:lineRule="auto"/>
              <w:jc w:val="right"/>
              <w:rPr>
                <w:rFonts w:ascii="Times New Roman" w:hAnsi="Times New Roman" w:cs="Times New Roman"/>
                <w:color w:val="000000" w:themeColor="text1"/>
              </w:rPr>
            </w:pPr>
            <w:r w:rsidRPr="00175254">
              <w:rPr>
                <w:rFonts w:ascii="Times New Roman" w:hAnsi="Times New Roman" w:cs="Times New Roman"/>
                <w:color w:val="000000" w:themeColor="text1"/>
              </w:rPr>
              <w:t>0.4</w:t>
            </w:r>
          </w:p>
        </w:tc>
        <w:tc>
          <w:tcPr>
            <w:tcW w:w="2160" w:type="dxa"/>
            <w:hideMark/>
          </w:tcPr>
          <w:p w14:paraId="4DB76D40" w14:textId="075A4D34" w:rsidR="002C5AA6" w:rsidRPr="002C5AA6" w:rsidRDefault="00175254"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0.69</w:t>
            </w:r>
          </w:p>
        </w:tc>
      </w:tr>
      <w:tr w:rsidR="002C5AA6" w:rsidRPr="002C5AA6" w14:paraId="795B3EF5" w14:textId="77777777" w:rsidTr="00C03E1C">
        <w:trPr>
          <w:trHeight w:val="292"/>
        </w:trPr>
        <w:tc>
          <w:tcPr>
            <w:tcW w:w="2520" w:type="dxa"/>
            <w:hideMark/>
          </w:tcPr>
          <w:p w14:paraId="0D80233E" w14:textId="38739CC9" w:rsidR="002C5AA6" w:rsidRPr="002C5AA6" w:rsidRDefault="002C5AA6"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 xml:space="preserve">subject*goal*different gender </w:t>
            </w:r>
          </w:p>
        </w:tc>
        <w:tc>
          <w:tcPr>
            <w:tcW w:w="2160" w:type="dxa"/>
            <w:hideMark/>
          </w:tcPr>
          <w:p w14:paraId="71569E0A" w14:textId="51067EAE" w:rsidR="002C5AA6" w:rsidRPr="00C03E1C" w:rsidRDefault="002C5AA6"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0.06 (1.25)</w:t>
            </w:r>
          </w:p>
        </w:tc>
        <w:tc>
          <w:tcPr>
            <w:tcW w:w="2160" w:type="dxa"/>
            <w:hideMark/>
          </w:tcPr>
          <w:p w14:paraId="5A6EA2EA" w14:textId="6F178D6C" w:rsidR="002C5AA6" w:rsidRPr="00175254" w:rsidRDefault="00C3071A" w:rsidP="00601809">
            <w:pPr>
              <w:keepNext/>
              <w:spacing w:line="240" w:lineRule="auto"/>
              <w:jc w:val="right"/>
              <w:rPr>
                <w:rFonts w:ascii="Times New Roman" w:hAnsi="Times New Roman" w:cs="Times New Roman"/>
                <w:color w:val="000000" w:themeColor="text1"/>
              </w:rPr>
            </w:pPr>
            <w:r w:rsidRPr="00175254">
              <w:rPr>
                <w:rFonts w:ascii="Times New Roman" w:hAnsi="Times New Roman" w:cs="Times New Roman"/>
                <w:color w:val="000000" w:themeColor="text1"/>
              </w:rPr>
              <w:t>0.05</w:t>
            </w:r>
          </w:p>
          <w:p w14:paraId="647DBC52" w14:textId="77777777" w:rsidR="002C5AA6" w:rsidRPr="00175254" w:rsidRDefault="002C5AA6" w:rsidP="00601809">
            <w:pPr>
              <w:keepNext/>
              <w:spacing w:line="240" w:lineRule="auto"/>
              <w:jc w:val="right"/>
              <w:rPr>
                <w:rFonts w:ascii="Times New Roman" w:hAnsi="Times New Roman" w:cs="Times New Roman"/>
                <w:color w:val="000000" w:themeColor="text1"/>
              </w:rPr>
            </w:pPr>
          </w:p>
        </w:tc>
        <w:tc>
          <w:tcPr>
            <w:tcW w:w="2160" w:type="dxa"/>
            <w:hideMark/>
          </w:tcPr>
          <w:p w14:paraId="2E75D438" w14:textId="5E5F5592" w:rsidR="002C5AA6" w:rsidRPr="002C5AA6" w:rsidRDefault="00175254"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0.96</w:t>
            </w:r>
          </w:p>
        </w:tc>
      </w:tr>
    </w:tbl>
    <w:p w14:paraId="260219AA" w14:textId="616CC692" w:rsidR="008615B4" w:rsidRDefault="008615B4" w:rsidP="00C03E1C">
      <w:pPr>
        <w:keepNext/>
        <w:ind w:firstLine="720"/>
      </w:pPr>
      <w:r>
        <w:t>* subject continuation was a random slope by both participants and items; all other random slopes estimated to be zero by the model</w:t>
      </w:r>
    </w:p>
    <w:p w14:paraId="399F64DA" w14:textId="77777777" w:rsidR="008615B4" w:rsidRDefault="008615B4" w:rsidP="008615B4">
      <w:pPr>
        <w:ind w:firstLine="720"/>
      </w:pPr>
    </w:p>
    <w:p w14:paraId="1EC61720" w14:textId="3071D9A7" w:rsidR="00DA72DD" w:rsidRPr="0023275D" w:rsidRDefault="00FF61B2" w:rsidP="00FF61B2">
      <w:pPr>
        <w:spacing w:line="240" w:lineRule="auto"/>
      </w:pPr>
      <w:r>
        <w:br w:type="page"/>
      </w:r>
    </w:p>
    <w:p w14:paraId="32ECCDB9" w14:textId="106C7124" w:rsidR="008615B4" w:rsidRDefault="008615B4" w:rsidP="005608A4">
      <w:pPr>
        <w:keepNext/>
        <w:spacing w:line="240" w:lineRule="auto"/>
      </w:pPr>
      <w:r w:rsidRPr="2EBC3AA5">
        <w:rPr>
          <w:i/>
          <w:iCs/>
        </w:rPr>
        <w:lastRenderedPageBreak/>
        <w:t xml:space="preserve">Table </w:t>
      </w:r>
      <w:r w:rsidR="004D0DF6">
        <w:rPr>
          <w:i/>
          <w:iCs/>
        </w:rPr>
        <w:t>10</w:t>
      </w:r>
      <w:r w:rsidRPr="2EBC3AA5">
        <w:rPr>
          <w:i/>
          <w:iCs/>
        </w:rPr>
        <w:t>.</w:t>
      </w:r>
      <w:r>
        <w:t xml:space="preserve"> </w:t>
      </w:r>
      <w:r w:rsidR="00EB7437">
        <w:t xml:space="preserve">Experiment 2: </w:t>
      </w:r>
      <w:r>
        <w:t>Overt pronoun rate model</w:t>
      </w:r>
    </w:p>
    <w:tbl>
      <w:tblPr>
        <w:tblStyle w:val="TableGrid"/>
        <w:tblpPr w:leftFromText="141" w:rightFromText="141" w:vertAnchor="text" w:tblpY="1"/>
        <w:tblW w:w="9000" w:type="dxa"/>
        <w:tblLook w:val="04A0" w:firstRow="1" w:lastRow="0" w:firstColumn="1" w:lastColumn="0" w:noHBand="0" w:noVBand="1"/>
      </w:tblPr>
      <w:tblGrid>
        <w:gridCol w:w="2520"/>
        <w:gridCol w:w="2160"/>
        <w:gridCol w:w="2160"/>
        <w:gridCol w:w="2160"/>
      </w:tblGrid>
      <w:tr w:rsidR="002C5AA6" w:rsidRPr="00811AA8" w14:paraId="52D81F67" w14:textId="77777777" w:rsidTr="00175254">
        <w:trPr>
          <w:trHeight w:val="317"/>
        </w:trPr>
        <w:tc>
          <w:tcPr>
            <w:tcW w:w="2520" w:type="dxa"/>
            <w:hideMark/>
          </w:tcPr>
          <w:p w14:paraId="41035706" w14:textId="77777777" w:rsidR="002C5AA6" w:rsidRPr="002C5AA6" w:rsidRDefault="002C5AA6" w:rsidP="00601809">
            <w:pPr>
              <w:keepNext/>
              <w:spacing w:line="240" w:lineRule="auto"/>
              <w:rPr>
                <w:rFonts w:ascii="Times New Roman" w:hAnsi="Times New Roman" w:cs="Times New Roman"/>
                <w:b/>
                <w:bCs/>
                <w:lang w:val="it-IT"/>
              </w:rPr>
            </w:pPr>
            <w:r w:rsidRPr="002C5AA6">
              <w:rPr>
                <w:rFonts w:ascii="Times New Roman" w:hAnsi="Times New Roman" w:cs="Times New Roman"/>
                <w:b/>
                <w:bCs/>
              </w:rPr>
              <w:t>Effect</w:t>
            </w:r>
          </w:p>
        </w:tc>
        <w:tc>
          <w:tcPr>
            <w:tcW w:w="2160" w:type="dxa"/>
            <w:hideMark/>
          </w:tcPr>
          <w:p w14:paraId="382E6788" w14:textId="77777777" w:rsidR="002C5AA6" w:rsidRPr="002C5AA6" w:rsidRDefault="002C5AA6" w:rsidP="00601809">
            <w:pPr>
              <w:keepNext/>
              <w:spacing w:line="240" w:lineRule="auto"/>
              <w:rPr>
                <w:rFonts w:ascii="Times New Roman" w:hAnsi="Times New Roman" w:cs="Times New Roman"/>
                <w:b/>
                <w:bCs/>
              </w:rPr>
            </w:pPr>
            <w:r w:rsidRPr="002C5AA6">
              <w:rPr>
                <w:rFonts w:ascii="Times New Roman" w:hAnsi="Times New Roman" w:cs="Times New Roman"/>
                <w:b/>
                <w:bCs/>
              </w:rPr>
              <w:t xml:space="preserve">Estimate </w:t>
            </w:r>
          </w:p>
          <w:p w14:paraId="6746AAE4" w14:textId="77777777" w:rsidR="002C5AA6" w:rsidRPr="002C5AA6" w:rsidRDefault="002C5AA6" w:rsidP="00601809">
            <w:pPr>
              <w:keepNext/>
              <w:spacing w:line="240" w:lineRule="auto"/>
              <w:rPr>
                <w:rFonts w:ascii="Times New Roman" w:hAnsi="Times New Roman" w:cs="Times New Roman"/>
                <w:b/>
                <w:bCs/>
              </w:rPr>
            </w:pPr>
            <w:r w:rsidRPr="002C5AA6">
              <w:rPr>
                <w:rFonts w:ascii="Times New Roman" w:hAnsi="Times New Roman" w:cs="Times New Roman"/>
                <w:b/>
                <w:bCs/>
              </w:rPr>
              <w:t>(Standard Error)</w:t>
            </w:r>
          </w:p>
        </w:tc>
        <w:tc>
          <w:tcPr>
            <w:tcW w:w="2160" w:type="dxa"/>
            <w:hideMark/>
          </w:tcPr>
          <w:p w14:paraId="1D16C88B" w14:textId="77777777" w:rsidR="002C5AA6" w:rsidRPr="002C5AA6" w:rsidRDefault="002C5AA6" w:rsidP="00601809">
            <w:pPr>
              <w:keepNext/>
              <w:spacing w:line="240" w:lineRule="auto"/>
              <w:rPr>
                <w:rFonts w:ascii="Times New Roman" w:hAnsi="Times New Roman" w:cs="Times New Roman"/>
                <w:b/>
                <w:bCs/>
              </w:rPr>
            </w:pPr>
            <w:r w:rsidRPr="002C5AA6">
              <w:rPr>
                <w:rFonts w:ascii="Times New Roman" w:hAnsi="Times New Roman" w:cs="Times New Roman"/>
                <w:b/>
                <w:bCs/>
              </w:rPr>
              <w:t>t Value</w:t>
            </w:r>
          </w:p>
        </w:tc>
        <w:tc>
          <w:tcPr>
            <w:tcW w:w="2160" w:type="dxa"/>
            <w:hideMark/>
          </w:tcPr>
          <w:p w14:paraId="0E183C90" w14:textId="77777777" w:rsidR="002C5AA6" w:rsidRPr="002C5AA6" w:rsidRDefault="002C5AA6" w:rsidP="00601809">
            <w:pPr>
              <w:keepNext/>
              <w:spacing w:line="240" w:lineRule="auto"/>
              <w:rPr>
                <w:rFonts w:ascii="Times New Roman" w:hAnsi="Times New Roman" w:cs="Times New Roman"/>
                <w:b/>
                <w:bCs/>
              </w:rPr>
            </w:pPr>
            <w:r w:rsidRPr="002C5AA6">
              <w:rPr>
                <w:rFonts w:ascii="Times New Roman" w:hAnsi="Times New Roman" w:cs="Times New Roman"/>
                <w:b/>
                <w:bCs/>
              </w:rPr>
              <w:t>Pr &gt; |t|</w:t>
            </w:r>
          </w:p>
        </w:tc>
      </w:tr>
      <w:tr w:rsidR="002C5AA6" w:rsidRPr="00811AA8" w14:paraId="701AC920" w14:textId="77777777" w:rsidTr="00175254">
        <w:trPr>
          <w:trHeight w:val="317"/>
        </w:trPr>
        <w:tc>
          <w:tcPr>
            <w:tcW w:w="2520" w:type="dxa"/>
            <w:hideMark/>
          </w:tcPr>
          <w:p w14:paraId="48398A02" w14:textId="77777777" w:rsidR="002C5AA6" w:rsidRPr="002C5AA6" w:rsidRDefault="002C5AA6"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subject continuation</w:t>
            </w:r>
          </w:p>
        </w:tc>
        <w:tc>
          <w:tcPr>
            <w:tcW w:w="2160" w:type="dxa"/>
            <w:hideMark/>
          </w:tcPr>
          <w:p w14:paraId="045522CF" w14:textId="2FE26CEB" w:rsidR="002C5AA6" w:rsidRPr="00175254" w:rsidRDefault="002C5AA6"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-0.75</w:t>
            </w:r>
            <w:r w:rsidR="00175254">
              <w:rPr>
                <w:rFonts w:ascii="Times New Roman" w:hAnsi="Times New Roman" w:cs="Times New Roman"/>
                <w:color w:val="000000"/>
                <w:lang w:val="it-IT" w:eastAsia="it-IT" w:bidi="bn-BD"/>
              </w:rPr>
              <w:t xml:space="preserve"> </w:t>
            </w:r>
            <w:r w:rsidRPr="00811AA8">
              <w:rPr>
                <w:rFonts w:ascii="Times New Roman" w:hAnsi="Times New Roman" w:cs="Times New Roman"/>
                <w:color w:val="000000"/>
                <w:lang w:val="it-IT" w:eastAsia="it-IT" w:bidi="bn-BD"/>
              </w:rPr>
              <w:t>(0.48)</w:t>
            </w:r>
          </w:p>
          <w:p w14:paraId="51252183" w14:textId="77777777" w:rsidR="002C5AA6" w:rsidRPr="002C5AA6" w:rsidRDefault="002C5AA6" w:rsidP="00601809">
            <w:pPr>
              <w:keepNext/>
              <w:spacing w:line="240" w:lineRule="auto"/>
              <w:rPr>
                <w:rFonts w:ascii="Times New Roman" w:hAnsi="Times New Roman" w:cs="Times New Roman"/>
                <w:color w:val="000000" w:themeColor="text1"/>
              </w:rPr>
            </w:pPr>
          </w:p>
        </w:tc>
        <w:tc>
          <w:tcPr>
            <w:tcW w:w="2160" w:type="dxa"/>
            <w:hideMark/>
          </w:tcPr>
          <w:p w14:paraId="18836EEA" w14:textId="07E48227" w:rsidR="002C5AA6" w:rsidRPr="00DA72DD" w:rsidRDefault="00175254" w:rsidP="00601809">
            <w:pPr>
              <w:keepNext/>
              <w:spacing w:line="240" w:lineRule="auto"/>
              <w:jc w:val="right"/>
              <w:rPr>
                <w:rFonts w:ascii="Times New Roman" w:hAnsi="Times New Roman" w:cs="Times New Roman"/>
                <w:color w:val="000000" w:themeColor="text1"/>
              </w:rPr>
            </w:pPr>
            <w:r w:rsidRPr="00DA72DD">
              <w:rPr>
                <w:rFonts w:ascii="Times New Roman" w:hAnsi="Times New Roman" w:cs="Times New Roman"/>
                <w:color w:val="000000"/>
                <w:lang w:val="it-IT" w:eastAsia="it-IT" w:bidi="bn-BD"/>
              </w:rPr>
              <w:t>-1.57</w:t>
            </w:r>
          </w:p>
        </w:tc>
        <w:tc>
          <w:tcPr>
            <w:tcW w:w="2160" w:type="dxa"/>
            <w:hideMark/>
          </w:tcPr>
          <w:p w14:paraId="0542D610" w14:textId="35C8BF12" w:rsidR="002C5AA6" w:rsidRPr="002C5AA6" w:rsidRDefault="002C5AA6"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0.133</w:t>
            </w:r>
          </w:p>
        </w:tc>
      </w:tr>
      <w:tr w:rsidR="002C5AA6" w:rsidRPr="00811AA8" w14:paraId="67220898" w14:textId="77777777" w:rsidTr="00175254">
        <w:trPr>
          <w:trHeight w:val="317"/>
        </w:trPr>
        <w:tc>
          <w:tcPr>
            <w:tcW w:w="2520" w:type="dxa"/>
            <w:hideMark/>
          </w:tcPr>
          <w:p w14:paraId="4EA2BBFF" w14:textId="77777777" w:rsidR="002C5AA6" w:rsidRPr="002C5AA6" w:rsidRDefault="002C5AA6"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goal continuation</w:t>
            </w:r>
          </w:p>
        </w:tc>
        <w:tc>
          <w:tcPr>
            <w:tcW w:w="2160" w:type="dxa"/>
            <w:hideMark/>
          </w:tcPr>
          <w:p w14:paraId="21F3027D" w14:textId="77777777" w:rsidR="002C5AA6" w:rsidRDefault="002C5AA6" w:rsidP="00601809">
            <w:pPr>
              <w:keepNext/>
              <w:spacing w:line="240" w:lineRule="auto"/>
              <w:ind w:firstLine="720"/>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1.01 (0.35)</w:t>
            </w:r>
          </w:p>
          <w:p w14:paraId="798EE997" w14:textId="1C793DB4" w:rsidR="00175254" w:rsidRPr="00175254" w:rsidRDefault="00175254" w:rsidP="00601809">
            <w:pPr>
              <w:keepNext/>
              <w:spacing w:line="240" w:lineRule="auto"/>
              <w:ind w:firstLine="720"/>
              <w:jc w:val="right"/>
              <w:rPr>
                <w:rFonts w:ascii="Times New Roman" w:hAnsi="Times New Roman" w:cs="Times New Roman"/>
                <w:color w:val="000000"/>
                <w:lang w:val="it-IT" w:eastAsia="it-IT" w:bidi="bn-BD"/>
              </w:rPr>
            </w:pPr>
          </w:p>
        </w:tc>
        <w:tc>
          <w:tcPr>
            <w:tcW w:w="2160" w:type="dxa"/>
            <w:hideMark/>
          </w:tcPr>
          <w:p w14:paraId="7AA44142" w14:textId="63316160" w:rsidR="002C5AA6" w:rsidRPr="00DA72DD" w:rsidRDefault="00175254" w:rsidP="00601809">
            <w:pPr>
              <w:keepNext/>
              <w:spacing w:line="240" w:lineRule="auto"/>
              <w:jc w:val="right"/>
              <w:rPr>
                <w:rFonts w:ascii="Times New Roman" w:hAnsi="Times New Roman" w:cs="Times New Roman"/>
                <w:color w:val="000000" w:themeColor="text1"/>
              </w:rPr>
            </w:pPr>
            <w:r w:rsidRPr="00DA72DD">
              <w:rPr>
                <w:rFonts w:ascii="Times New Roman" w:hAnsi="Times New Roman" w:cs="Times New Roman"/>
                <w:color w:val="000000" w:themeColor="text1"/>
              </w:rPr>
              <w:t>2.9</w:t>
            </w:r>
          </w:p>
        </w:tc>
        <w:tc>
          <w:tcPr>
            <w:tcW w:w="2160" w:type="dxa"/>
            <w:hideMark/>
          </w:tcPr>
          <w:p w14:paraId="0A68877A" w14:textId="10D250B6" w:rsidR="002C5AA6" w:rsidRPr="002C5AA6" w:rsidRDefault="002C5AA6"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0.009</w:t>
            </w:r>
          </w:p>
        </w:tc>
      </w:tr>
      <w:tr w:rsidR="002C5AA6" w:rsidRPr="00811AA8" w14:paraId="6B4BFD49" w14:textId="77777777" w:rsidTr="00175254">
        <w:trPr>
          <w:trHeight w:val="317"/>
        </w:trPr>
        <w:tc>
          <w:tcPr>
            <w:tcW w:w="2520" w:type="dxa"/>
            <w:hideMark/>
          </w:tcPr>
          <w:p w14:paraId="1FB08EAE" w14:textId="268D34EB" w:rsidR="002C5AA6" w:rsidRPr="002C5AA6" w:rsidRDefault="002C5AA6"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 xml:space="preserve">different gender </w:t>
            </w:r>
          </w:p>
        </w:tc>
        <w:tc>
          <w:tcPr>
            <w:tcW w:w="2160" w:type="dxa"/>
            <w:hideMark/>
          </w:tcPr>
          <w:p w14:paraId="778A4210" w14:textId="77777777" w:rsidR="002C5AA6" w:rsidRDefault="002C5AA6"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0.66 (0.34)</w:t>
            </w:r>
          </w:p>
          <w:p w14:paraId="026C201B" w14:textId="7240DD0F" w:rsidR="00175254" w:rsidRPr="00175254" w:rsidRDefault="00175254" w:rsidP="00601809">
            <w:pPr>
              <w:keepNext/>
              <w:spacing w:line="240" w:lineRule="auto"/>
              <w:jc w:val="right"/>
              <w:rPr>
                <w:rFonts w:ascii="Times New Roman" w:hAnsi="Times New Roman" w:cs="Times New Roman"/>
                <w:color w:val="000000"/>
                <w:lang w:val="it-IT" w:eastAsia="it-IT" w:bidi="bn-BD"/>
              </w:rPr>
            </w:pPr>
          </w:p>
        </w:tc>
        <w:tc>
          <w:tcPr>
            <w:tcW w:w="2160" w:type="dxa"/>
            <w:hideMark/>
          </w:tcPr>
          <w:p w14:paraId="0918559F" w14:textId="31620C49" w:rsidR="002C5AA6" w:rsidRPr="00DA72DD" w:rsidRDefault="00175254" w:rsidP="00601809">
            <w:pPr>
              <w:keepNext/>
              <w:spacing w:line="240" w:lineRule="auto"/>
              <w:jc w:val="right"/>
              <w:rPr>
                <w:rFonts w:ascii="Times New Roman" w:hAnsi="Times New Roman" w:cs="Times New Roman"/>
                <w:color w:val="000000" w:themeColor="text1"/>
              </w:rPr>
            </w:pPr>
            <w:r w:rsidRPr="00DA72DD">
              <w:rPr>
                <w:rFonts w:ascii="Times New Roman" w:hAnsi="Times New Roman" w:cs="Times New Roman"/>
                <w:color w:val="000000" w:themeColor="text1"/>
              </w:rPr>
              <w:t>1.93</w:t>
            </w:r>
          </w:p>
        </w:tc>
        <w:tc>
          <w:tcPr>
            <w:tcW w:w="2160" w:type="dxa"/>
            <w:hideMark/>
          </w:tcPr>
          <w:p w14:paraId="059975E1" w14:textId="0379815C" w:rsidR="002C5AA6" w:rsidRPr="002C5AA6" w:rsidRDefault="002C5AA6"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0.07</w:t>
            </w:r>
          </w:p>
        </w:tc>
      </w:tr>
      <w:tr w:rsidR="002C5AA6" w:rsidRPr="00811AA8" w14:paraId="51969F0A" w14:textId="77777777" w:rsidTr="00175254">
        <w:trPr>
          <w:trHeight w:val="317"/>
        </w:trPr>
        <w:tc>
          <w:tcPr>
            <w:tcW w:w="2520" w:type="dxa"/>
            <w:hideMark/>
          </w:tcPr>
          <w:p w14:paraId="5D40D22E" w14:textId="660CF22F" w:rsidR="002C5AA6" w:rsidRPr="002C5AA6" w:rsidRDefault="002C5AA6"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 xml:space="preserve">subject*goal </w:t>
            </w:r>
          </w:p>
        </w:tc>
        <w:tc>
          <w:tcPr>
            <w:tcW w:w="2160" w:type="dxa"/>
            <w:hideMark/>
          </w:tcPr>
          <w:p w14:paraId="0E155C7F" w14:textId="77777777" w:rsidR="002C5AA6" w:rsidRDefault="002C5AA6"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-0.41 (0.83)</w:t>
            </w:r>
          </w:p>
          <w:p w14:paraId="123534F1" w14:textId="3D6D6AE8" w:rsidR="00175254" w:rsidRPr="00175254" w:rsidRDefault="00175254" w:rsidP="00601809">
            <w:pPr>
              <w:keepNext/>
              <w:spacing w:line="240" w:lineRule="auto"/>
              <w:jc w:val="right"/>
              <w:rPr>
                <w:rFonts w:ascii="Times New Roman" w:hAnsi="Times New Roman" w:cs="Times New Roman"/>
                <w:color w:val="000000"/>
                <w:lang w:val="it-IT" w:eastAsia="it-IT" w:bidi="bn-BD"/>
              </w:rPr>
            </w:pPr>
          </w:p>
        </w:tc>
        <w:tc>
          <w:tcPr>
            <w:tcW w:w="2160" w:type="dxa"/>
            <w:hideMark/>
          </w:tcPr>
          <w:p w14:paraId="1E3CB075" w14:textId="01E6975A" w:rsidR="002C5AA6" w:rsidRPr="00DA72DD" w:rsidRDefault="00175254" w:rsidP="00601809">
            <w:pPr>
              <w:keepNext/>
              <w:spacing w:line="240" w:lineRule="auto"/>
              <w:jc w:val="right"/>
              <w:rPr>
                <w:rFonts w:ascii="Times New Roman" w:hAnsi="Times New Roman" w:cs="Times New Roman"/>
                <w:color w:val="000000" w:themeColor="text1"/>
              </w:rPr>
            </w:pPr>
            <w:r w:rsidRPr="00DA72DD">
              <w:rPr>
                <w:rFonts w:ascii="Times New Roman" w:hAnsi="Times New Roman" w:cs="Times New Roman"/>
                <w:color w:val="000000" w:themeColor="text1"/>
              </w:rPr>
              <w:t>-0.49</w:t>
            </w:r>
          </w:p>
        </w:tc>
        <w:tc>
          <w:tcPr>
            <w:tcW w:w="2160" w:type="dxa"/>
            <w:hideMark/>
          </w:tcPr>
          <w:p w14:paraId="194A471B" w14:textId="370EC089" w:rsidR="002C5AA6" w:rsidRPr="002C5AA6" w:rsidRDefault="002C5AA6"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0.63</w:t>
            </w:r>
          </w:p>
        </w:tc>
      </w:tr>
      <w:tr w:rsidR="002C5AA6" w:rsidRPr="00811AA8" w14:paraId="4E5CCE23" w14:textId="77777777" w:rsidTr="00175254">
        <w:trPr>
          <w:trHeight w:val="317"/>
        </w:trPr>
        <w:tc>
          <w:tcPr>
            <w:tcW w:w="2520" w:type="dxa"/>
            <w:hideMark/>
          </w:tcPr>
          <w:p w14:paraId="1A60205F" w14:textId="77777777" w:rsidR="002C5AA6" w:rsidRPr="002C5AA6" w:rsidRDefault="002C5AA6"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goal*different gender</w:t>
            </w:r>
          </w:p>
          <w:p w14:paraId="74C698E7" w14:textId="72C7D41A" w:rsidR="002C5AA6" w:rsidRPr="002C5AA6" w:rsidRDefault="002C5AA6" w:rsidP="00601809">
            <w:pPr>
              <w:keepNext/>
              <w:spacing w:line="240" w:lineRule="auto"/>
              <w:rPr>
                <w:rFonts w:ascii="Times New Roman" w:hAnsi="Times New Roman" w:cs="Times New Roman"/>
                <w:b/>
                <w:bCs/>
                <w:color w:val="000000" w:themeColor="text1"/>
              </w:rPr>
            </w:pPr>
          </w:p>
        </w:tc>
        <w:tc>
          <w:tcPr>
            <w:tcW w:w="2160" w:type="dxa"/>
            <w:hideMark/>
          </w:tcPr>
          <w:p w14:paraId="508EDB8B" w14:textId="29AB13D5" w:rsidR="002C5AA6" w:rsidRPr="00175254" w:rsidRDefault="002C5AA6"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-1.17 (0.69)</w:t>
            </w:r>
          </w:p>
        </w:tc>
        <w:tc>
          <w:tcPr>
            <w:tcW w:w="2160" w:type="dxa"/>
            <w:hideMark/>
          </w:tcPr>
          <w:p w14:paraId="1389450E" w14:textId="004229D5" w:rsidR="002C5AA6" w:rsidRPr="00DA72DD" w:rsidRDefault="00DA72DD" w:rsidP="00601809">
            <w:pPr>
              <w:keepNext/>
              <w:spacing w:line="240" w:lineRule="auto"/>
              <w:jc w:val="right"/>
              <w:rPr>
                <w:rFonts w:ascii="Times New Roman" w:hAnsi="Times New Roman" w:cs="Times New Roman"/>
                <w:color w:val="000000" w:themeColor="text1"/>
              </w:rPr>
            </w:pPr>
            <w:r w:rsidRPr="00DA72DD">
              <w:rPr>
                <w:rFonts w:ascii="Times New Roman" w:hAnsi="Times New Roman" w:cs="Times New Roman"/>
                <w:color w:val="000000" w:themeColor="text1"/>
              </w:rPr>
              <w:t>-1.7</w:t>
            </w:r>
          </w:p>
        </w:tc>
        <w:tc>
          <w:tcPr>
            <w:tcW w:w="2160" w:type="dxa"/>
            <w:hideMark/>
          </w:tcPr>
          <w:p w14:paraId="142AF099" w14:textId="7D9EA3D9" w:rsidR="002C5AA6" w:rsidRPr="002C5AA6" w:rsidRDefault="002C5AA6"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0.107</w:t>
            </w:r>
          </w:p>
        </w:tc>
      </w:tr>
      <w:tr w:rsidR="002C5AA6" w:rsidRPr="00811AA8" w14:paraId="6B2DA82C" w14:textId="77777777" w:rsidTr="00175254">
        <w:trPr>
          <w:trHeight w:val="317"/>
        </w:trPr>
        <w:tc>
          <w:tcPr>
            <w:tcW w:w="2520" w:type="dxa"/>
            <w:hideMark/>
          </w:tcPr>
          <w:p w14:paraId="595CE32A" w14:textId="2462F447" w:rsidR="002C5AA6" w:rsidRPr="002C5AA6" w:rsidRDefault="002C5AA6"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 xml:space="preserve">subject*different gender </w:t>
            </w:r>
          </w:p>
        </w:tc>
        <w:tc>
          <w:tcPr>
            <w:tcW w:w="2160" w:type="dxa"/>
            <w:hideMark/>
          </w:tcPr>
          <w:p w14:paraId="0117358F" w14:textId="50ECD225" w:rsidR="002C5AA6" w:rsidRPr="00175254" w:rsidRDefault="002C5AA6"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-0.54 (0.82)</w:t>
            </w:r>
          </w:p>
        </w:tc>
        <w:tc>
          <w:tcPr>
            <w:tcW w:w="2160" w:type="dxa"/>
            <w:hideMark/>
          </w:tcPr>
          <w:p w14:paraId="726E528A" w14:textId="3AB85522" w:rsidR="002C5AA6" w:rsidRPr="00DA72DD" w:rsidRDefault="00DA72DD" w:rsidP="00601809">
            <w:pPr>
              <w:keepNext/>
              <w:spacing w:line="240" w:lineRule="auto"/>
              <w:jc w:val="right"/>
              <w:rPr>
                <w:rFonts w:ascii="Times New Roman" w:hAnsi="Times New Roman" w:cs="Times New Roman"/>
                <w:color w:val="000000" w:themeColor="text1"/>
              </w:rPr>
            </w:pPr>
            <w:r w:rsidRPr="00DA72DD">
              <w:rPr>
                <w:rFonts w:ascii="Times New Roman" w:hAnsi="Times New Roman" w:cs="Times New Roman"/>
                <w:color w:val="000000"/>
                <w:lang w:val="it-IT" w:eastAsia="it-IT" w:bidi="bn-BD"/>
              </w:rPr>
              <w:t>-0.66</w:t>
            </w:r>
          </w:p>
        </w:tc>
        <w:tc>
          <w:tcPr>
            <w:tcW w:w="2160" w:type="dxa"/>
            <w:hideMark/>
          </w:tcPr>
          <w:p w14:paraId="0D615CB1" w14:textId="20FB0B87" w:rsidR="002C5AA6" w:rsidRPr="002C5AA6" w:rsidRDefault="002C5AA6"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0.519</w:t>
            </w:r>
          </w:p>
        </w:tc>
      </w:tr>
      <w:tr w:rsidR="002C5AA6" w:rsidRPr="00811AA8" w14:paraId="0827E283" w14:textId="77777777" w:rsidTr="00175254">
        <w:trPr>
          <w:trHeight w:val="317"/>
        </w:trPr>
        <w:tc>
          <w:tcPr>
            <w:tcW w:w="2520" w:type="dxa"/>
            <w:hideMark/>
          </w:tcPr>
          <w:p w14:paraId="519990D3" w14:textId="4E269862" w:rsidR="002C5AA6" w:rsidRPr="002C5AA6" w:rsidRDefault="002C5AA6" w:rsidP="00601809">
            <w:pPr>
              <w:keepNext/>
              <w:spacing w:line="240" w:lineRule="auto"/>
              <w:rPr>
                <w:rFonts w:ascii="Times New Roman" w:hAnsi="Times New Roman" w:cs="Times New Roman"/>
                <w:b/>
                <w:bCs/>
                <w:color w:val="000000" w:themeColor="text1"/>
              </w:rPr>
            </w:pPr>
            <w:r w:rsidRPr="002C5AA6">
              <w:rPr>
                <w:rFonts w:ascii="Times New Roman" w:hAnsi="Times New Roman" w:cs="Times New Roman"/>
                <w:b/>
                <w:bCs/>
                <w:color w:val="000000" w:themeColor="text1"/>
              </w:rPr>
              <w:t xml:space="preserve">subject*goal*different gender </w:t>
            </w:r>
          </w:p>
        </w:tc>
        <w:tc>
          <w:tcPr>
            <w:tcW w:w="2160" w:type="dxa"/>
            <w:hideMark/>
          </w:tcPr>
          <w:p w14:paraId="735376C0" w14:textId="2846B2F4" w:rsidR="002C5AA6" w:rsidRPr="00175254" w:rsidRDefault="002C5AA6"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1.11 (1.65)</w:t>
            </w:r>
          </w:p>
        </w:tc>
        <w:tc>
          <w:tcPr>
            <w:tcW w:w="2160" w:type="dxa"/>
            <w:hideMark/>
          </w:tcPr>
          <w:p w14:paraId="5E397C4E" w14:textId="355119EE" w:rsidR="002C5AA6" w:rsidRPr="00DA72DD" w:rsidRDefault="00DA72DD" w:rsidP="00601809">
            <w:pPr>
              <w:keepNext/>
              <w:spacing w:line="240" w:lineRule="auto"/>
              <w:jc w:val="right"/>
              <w:rPr>
                <w:rFonts w:ascii="Times New Roman" w:hAnsi="Times New Roman" w:cs="Times New Roman"/>
                <w:color w:val="000000" w:themeColor="text1"/>
              </w:rPr>
            </w:pPr>
            <w:r w:rsidRPr="00DA72DD">
              <w:rPr>
                <w:rFonts w:ascii="Times New Roman" w:hAnsi="Times New Roman" w:cs="Times New Roman"/>
                <w:color w:val="000000"/>
                <w:lang w:val="it-IT" w:eastAsia="it-IT" w:bidi="bn-BD"/>
              </w:rPr>
              <w:t>0.67</w:t>
            </w:r>
          </w:p>
        </w:tc>
        <w:tc>
          <w:tcPr>
            <w:tcW w:w="2160" w:type="dxa"/>
            <w:hideMark/>
          </w:tcPr>
          <w:p w14:paraId="5E629CD8" w14:textId="23B74FE3" w:rsidR="002C5AA6" w:rsidRPr="002C5AA6" w:rsidRDefault="002C5AA6"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0.508</w:t>
            </w:r>
          </w:p>
        </w:tc>
      </w:tr>
    </w:tbl>
    <w:p w14:paraId="68F945B2" w14:textId="77777777" w:rsidR="008615B4" w:rsidRDefault="008615B4" w:rsidP="00DA72DD">
      <w:pPr>
        <w:keepNext/>
        <w:ind w:firstLine="720"/>
      </w:pPr>
      <w:r>
        <w:t>* subject continuation was a random slope by both participants and items; all other random slopes estimated to be zero by the model</w:t>
      </w:r>
    </w:p>
    <w:p w14:paraId="12FD81F2" w14:textId="226EECE5" w:rsidR="008615B4" w:rsidRDefault="00FF61B2" w:rsidP="00FF61B2">
      <w:pPr>
        <w:spacing w:line="240" w:lineRule="auto"/>
      </w:pPr>
      <w:r>
        <w:br w:type="page"/>
      </w:r>
    </w:p>
    <w:p w14:paraId="2F10B9F0" w14:textId="66F5A64E" w:rsidR="004E184C" w:rsidRPr="004E184C" w:rsidRDefault="008615B4" w:rsidP="00CA096C">
      <w:r w:rsidRPr="2EBC3AA5">
        <w:rPr>
          <w:i/>
          <w:iCs/>
        </w:rPr>
        <w:lastRenderedPageBreak/>
        <w:t>Table 1</w:t>
      </w:r>
      <w:r w:rsidR="004D0DF6">
        <w:rPr>
          <w:i/>
          <w:iCs/>
        </w:rPr>
        <w:t>1</w:t>
      </w:r>
      <w:r w:rsidRPr="2EBC3AA5">
        <w:rPr>
          <w:i/>
          <w:iCs/>
        </w:rPr>
        <w:t>.</w:t>
      </w:r>
      <w:r>
        <w:t xml:space="preserve"> </w:t>
      </w:r>
      <w:r w:rsidR="00EB7437">
        <w:t xml:space="preserve">Experiment 2: </w:t>
      </w:r>
      <w:r>
        <w:t>Null pronoun rate model</w:t>
      </w:r>
    </w:p>
    <w:tbl>
      <w:tblPr>
        <w:tblStyle w:val="TableGrid"/>
        <w:tblpPr w:leftFromText="141" w:rightFromText="141" w:vertAnchor="text" w:tblpY="1"/>
        <w:tblW w:w="9000" w:type="dxa"/>
        <w:tblLook w:val="04A0" w:firstRow="1" w:lastRow="0" w:firstColumn="1" w:lastColumn="0" w:noHBand="0" w:noVBand="1"/>
      </w:tblPr>
      <w:tblGrid>
        <w:gridCol w:w="2520"/>
        <w:gridCol w:w="2160"/>
        <w:gridCol w:w="2160"/>
        <w:gridCol w:w="2160"/>
      </w:tblGrid>
      <w:tr w:rsidR="004E184C" w:rsidRPr="004E184C" w14:paraId="502B0B4C" w14:textId="77777777" w:rsidTr="00DA72DD">
        <w:trPr>
          <w:trHeight w:val="317"/>
        </w:trPr>
        <w:tc>
          <w:tcPr>
            <w:tcW w:w="2520" w:type="dxa"/>
            <w:hideMark/>
          </w:tcPr>
          <w:p w14:paraId="2FB9EC67" w14:textId="77777777" w:rsidR="004E184C" w:rsidRPr="004E184C" w:rsidRDefault="004E184C" w:rsidP="00601809">
            <w:pPr>
              <w:keepNext/>
              <w:spacing w:line="240" w:lineRule="auto"/>
              <w:rPr>
                <w:rFonts w:ascii="Times New Roman" w:hAnsi="Times New Roman" w:cs="Times New Roman"/>
                <w:b/>
                <w:bCs/>
                <w:lang w:val="it-IT"/>
              </w:rPr>
            </w:pPr>
            <w:r w:rsidRPr="004E184C">
              <w:rPr>
                <w:rFonts w:ascii="Times New Roman" w:hAnsi="Times New Roman" w:cs="Times New Roman"/>
                <w:b/>
                <w:bCs/>
              </w:rPr>
              <w:t>Effect</w:t>
            </w:r>
          </w:p>
        </w:tc>
        <w:tc>
          <w:tcPr>
            <w:tcW w:w="2160" w:type="dxa"/>
            <w:hideMark/>
          </w:tcPr>
          <w:p w14:paraId="0AAEF873" w14:textId="77777777" w:rsidR="004E184C" w:rsidRPr="004E184C" w:rsidRDefault="004E184C" w:rsidP="00601809">
            <w:pPr>
              <w:keepNext/>
              <w:spacing w:line="240" w:lineRule="auto"/>
              <w:rPr>
                <w:rFonts w:ascii="Times New Roman" w:hAnsi="Times New Roman" w:cs="Times New Roman"/>
                <w:b/>
                <w:bCs/>
              </w:rPr>
            </w:pPr>
            <w:r w:rsidRPr="004E184C">
              <w:rPr>
                <w:rFonts w:ascii="Times New Roman" w:hAnsi="Times New Roman" w:cs="Times New Roman"/>
                <w:b/>
                <w:bCs/>
              </w:rPr>
              <w:t xml:space="preserve">Estimate </w:t>
            </w:r>
          </w:p>
          <w:p w14:paraId="757DFCC3" w14:textId="77777777" w:rsidR="004E184C" w:rsidRPr="004E184C" w:rsidRDefault="004E184C" w:rsidP="00601809">
            <w:pPr>
              <w:keepNext/>
              <w:spacing w:line="240" w:lineRule="auto"/>
              <w:rPr>
                <w:rFonts w:ascii="Times New Roman" w:hAnsi="Times New Roman" w:cs="Times New Roman"/>
                <w:b/>
                <w:bCs/>
              </w:rPr>
            </w:pPr>
            <w:r w:rsidRPr="004E184C">
              <w:rPr>
                <w:rFonts w:ascii="Times New Roman" w:hAnsi="Times New Roman" w:cs="Times New Roman"/>
                <w:b/>
                <w:bCs/>
              </w:rPr>
              <w:t>(Standard Error)</w:t>
            </w:r>
          </w:p>
        </w:tc>
        <w:tc>
          <w:tcPr>
            <w:tcW w:w="2160" w:type="dxa"/>
            <w:hideMark/>
          </w:tcPr>
          <w:p w14:paraId="7D56AC63" w14:textId="77777777" w:rsidR="004E184C" w:rsidRPr="004E184C" w:rsidRDefault="004E184C" w:rsidP="00601809">
            <w:pPr>
              <w:keepNext/>
              <w:spacing w:line="240" w:lineRule="auto"/>
              <w:rPr>
                <w:rFonts w:ascii="Times New Roman" w:hAnsi="Times New Roman" w:cs="Times New Roman"/>
                <w:b/>
                <w:bCs/>
              </w:rPr>
            </w:pPr>
            <w:r w:rsidRPr="004E184C">
              <w:rPr>
                <w:rFonts w:ascii="Times New Roman" w:hAnsi="Times New Roman" w:cs="Times New Roman"/>
                <w:b/>
                <w:bCs/>
              </w:rPr>
              <w:t>t Value</w:t>
            </w:r>
          </w:p>
        </w:tc>
        <w:tc>
          <w:tcPr>
            <w:tcW w:w="2160" w:type="dxa"/>
            <w:hideMark/>
          </w:tcPr>
          <w:p w14:paraId="0120535F" w14:textId="77777777" w:rsidR="004E184C" w:rsidRPr="004E184C" w:rsidRDefault="004E184C" w:rsidP="00601809">
            <w:pPr>
              <w:keepNext/>
              <w:spacing w:line="240" w:lineRule="auto"/>
              <w:rPr>
                <w:rFonts w:ascii="Times New Roman" w:hAnsi="Times New Roman" w:cs="Times New Roman"/>
                <w:b/>
                <w:bCs/>
              </w:rPr>
            </w:pPr>
            <w:r w:rsidRPr="004E184C">
              <w:rPr>
                <w:rFonts w:ascii="Times New Roman" w:hAnsi="Times New Roman" w:cs="Times New Roman"/>
                <w:b/>
                <w:bCs/>
              </w:rPr>
              <w:t>Pr &gt; |t|</w:t>
            </w:r>
          </w:p>
        </w:tc>
      </w:tr>
      <w:tr w:rsidR="004E184C" w:rsidRPr="004E184C" w14:paraId="12ED3807" w14:textId="77777777" w:rsidTr="00DA72DD">
        <w:trPr>
          <w:trHeight w:val="317"/>
        </w:trPr>
        <w:tc>
          <w:tcPr>
            <w:tcW w:w="2520" w:type="dxa"/>
            <w:hideMark/>
          </w:tcPr>
          <w:p w14:paraId="1E5D4DC3" w14:textId="77777777" w:rsidR="004E184C" w:rsidRPr="004E184C" w:rsidRDefault="004E184C" w:rsidP="00601809">
            <w:pPr>
              <w:keepNext/>
              <w:spacing w:line="240" w:lineRule="auto"/>
              <w:rPr>
                <w:rFonts w:ascii="Times New Roman" w:hAnsi="Times New Roman" w:cs="Times New Roman"/>
                <w:b/>
                <w:bCs/>
                <w:color w:val="000000" w:themeColor="text1"/>
              </w:rPr>
            </w:pPr>
            <w:r w:rsidRPr="004E184C">
              <w:rPr>
                <w:rFonts w:ascii="Times New Roman" w:hAnsi="Times New Roman" w:cs="Times New Roman"/>
                <w:b/>
                <w:bCs/>
                <w:color w:val="000000" w:themeColor="text1"/>
              </w:rPr>
              <w:t>subject continuation</w:t>
            </w:r>
          </w:p>
        </w:tc>
        <w:tc>
          <w:tcPr>
            <w:tcW w:w="2160" w:type="dxa"/>
            <w:hideMark/>
          </w:tcPr>
          <w:p w14:paraId="5DF3EA08" w14:textId="40446C60" w:rsidR="004E184C" w:rsidRPr="00DA72DD" w:rsidRDefault="004E184C"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4.58 (0.63)</w:t>
            </w:r>
          </w:p>
          <w:p w14:paraId="716612B7" w14:textId="77777777" w:rsidR="004E184C" w:rsidRPr="004E184C" w:rsidRDefault="004E184C" w:rsidP="00601809">
            <w:pPr>
              <w:keepNext/>
              <w:spacing w:line="240" w:lineRule="auto"/>
              <w:ind w:firstLine="720"/>
              <w:jc w:val="right"/>
              <w:rPr>
                <w:rFonts w:ascii="Times New Roman" w:hAnsi="Times New Roman" w:cs="Times New Roman"/>
                <w:color w:val="000000" w:themeColor="text1"/>
              </w:rPr>
            </w:pPr>
          </w:p>
        </w:tc>
        <w:tc>
          <w:tcPr>
            <w:tcW w:w="2160" w:type="dxa"/>
            <w:hideMark/>
          </w:tcPr>
          <w:p w14:paraId="73E8E034" w14:textId="3291F54D" w:rsidR="004E184C" w:rsidRPr="004E184C" w:rsidRDefault="004E184C"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7.25</w:t>
            </w:r>
          </w:p>
        </w:tc>
        <w:tc>
          <w:tcPr>
            <w:tcW w:w="2160" w:type="dxa"/>
            <w:hideMark/>
          </w:tcPr>
          <w:p w14:paraId="47EE101E" w14:textId="4B7F3F04" w:rsidR="004E184C" w:rsidRPr="004E184C" w:rsidRDefault="004E184C"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&lt;.0001</w:t>
            </w:r>
          </w:p>
        </w:tc>
      </w:tr>
      <w:tr w:rsidR="004E184C" w:rsidRPr="004E184C" w14:paraId="10CFB25D" w14:textId="77777777" w:rsidTr="00DA72DD">
        <w:trPr>
          <w:trHeight w:val="317"/>
        </w:trPr>
        <w:tc>
          <w:tcPr>
            <w:tcW w:w="2520" w:type="dxa"/>
            <w:hideMark/>
          </w:tcPr>
          <w:p w14:paraId="318B11F3" w14:textId="77777777" w:rsidR="004E184C" w:rsidRPr="004E184C" w:rsidRDefault="004E184C" w:rsidP="00601809">
            <w:pPr>
              <w:keepNext/>
              <w:rPr>
                <w:rFonts w:ascii="Times New Roman" w:hAnsi="Times New Roman" w:cs="Times New Roman"/>
                <w:b/>
                <w:bCs/>
                <w:color w:val="000000" w:themeColor="text1"/>
              </w:rPr>
            </w:pPr>
            <w:r w:rsidRPr="004E184C">
              <w:rPr>
                <w:rFonts w:ascii="Times New Roman" w:hAnsi="Times New Roman" w:cs="Times New Roman"/>
                <w:b/>
                <w:bCs/>
                <w:color w:val="000000" w:themeColor="text1"/>
              </w:rPr>
              <w:t>goal continuation</w:t>
            </w:r>
          </w:p>
        </w:tc>
        <w:tc>
          <w:tcPr>
            <w:tcW w:w="2160" w:type="dxa"/>
            <w:hideMark/>
          </w:tcPr>
          <w:p w14:paraId="0D3998A9" w14:textId="4D376C0B" w:rsidR="004E184C" w:rsidRPr="00DA72DD" w:rsidRDefault="004E184C" w:rsidP="00601809">
            <w:pPr>
              <w:keepNext/>
              <w:ind w:firstLine="720"/>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0.03</w:t>
            </w:r>
            <w:r w:rsidR="00DA72DD">
              <w:rPr>
                <w:rFonts w:ascii="Times New Roman" w:hAnsi="Times New Roman" w:cs="Times New Roman"/>
                <w:color w:val="000000"/>
                <w:lang w:val="it-IT" w:eastAsia="it-IT" w:bidi="bn-BD"/>
              </w:rPr>
              <w:t xml:space="preserve"> </w:t>
            </w:r>
            <w:r w:rsidRPr="00811AA8">
              <w:rPr>
                <w:rFonts w:ascii="Times New Roman" w:hAnsi="Times New Roman" w:cs="Times New Roman"/>
                <w:color w:val="000000"/>
                <w:lang w:val="it-IT" w:eastAsia="it-IT" w:bidi="bn-BD"/>
              </w:rPr>
              <w:t>(0.6)</w:t>
            </w:r>
          </w:p>
        </w:tc>
        <w:tc>
          <w:tcPr>
            <w:tcW w:w="2160" w:type="dxa"/>
            <w:hideMark/>
          </w:tcPr>
          <w:p w14:paraId="75A23B45" w14:textId="14882512" w:rsidR="004E184C" w:rsidRPr="004E184C" w:rsidRDefault="004E184C" w:rsidP="00601809">
            <w:pPr>
              <w:keepNext/>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0.05</w:t>
            </w:r>
          </w:p>
        </w:tc>
        <w:tc>
          <w:tcPr>
            <w:tcW w:w="2160" w:type="dxa"/>
            <w:hideMark/>
          </w:tcPr>
          <w:p w14:paraId="6BC8C8E4" w14:textId="733B15E8" w:rsidR="004E184C" w:rsidRPr="004E184C" w:rsidRDefault="00DA72DD" w:rsidP="00601809">
            <w:pPr>
              <w:keepNext/>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0.96</w:t>
            </w:r>
          </w:p>
        </w:tc>
      </w:tr>
      <w:tr w:rsidR="004E184C" w:rsidRPr="004E184C" w14:paraId="4D7E32BE" w14:textId="77777777" w:rsidTr="00DA72DD">
        <w:trPr>
          <w:trHeight w:val="317"/>
        </w:trPr>
        <w:tc>
          <w:tcPr>
            <w:tcW w:w="2520" w:type="dxa"/>
            <w:hideMark/>
          </w:tcPr>
          <w:p w14:paraId="0AFA640B" w14:textId="63468E7B" w:rsidR="004E184C" w:rsidRPr="004E184C" w:rsidRDefault="004E184C" w:rsidP="00601809">
            <w:pPr>
              <w:keepNext/>
              <w:spacing w:line="240" w:lineRule="auto"/>
              <w:rPr>
                <w:rFonts w:ascii="Times New Roman" w:hAnsi="Times New Roman" w:cs="Times New Roman"/>
                <w:b/>
                <w:bCs/>
                <w:color w:val="000000" w:themeColor="text1"/>
              </w:rPr>
            </w:pPr>
            <w:r w:rsidRPr="004E184C">
              <w:rPr>
                <w:rFonts w:ascii="Times New Roman" w:hAnsi="Times New Roman" w:cs="Times New Roman"/>
                <w:b/>
                <w:bCs/>
                <w:color w:val="000000" w:themeColor="text1"/>
              </w:rPr>
              <w:t xml:space="preserve">different gender </w:t>
            </w:r>
            <w:r w:rsidR="00CA18C4">
              <w:rPr>
                <w:rFonts w:ascii="Times New Roman" w:hAnsi="Times New Roman" w:cs="Times New Roman"/>
                <w:b/>
                <w:bCs/>
                <w:color w:val="000000" w:themeColor="text1"/>
              </w:rPr>
              <w:t>(vs. same gender)</w:t>
            </w:r>
          </w:p>
        </w:tc>
        <w:tc>
          <w:tcPr>
            <w:tcW w:w="2160" w:type="dxa"/>
            <w:hideMark/>
          </w:tcPr>
          <w:p w14:paraId="5645538C" w14:textId="6238D0D0" w:rsidR="004E184C" w:rsidRPr="00DA72DD" w:rsidRDefault="004E184C"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 (0.59)</w:t>
            </w:r>
          </w:p>
        </w:tc>
        <w:tc>
          <w:tcPr>
            <w:tcW w:w="2160" w:type="dxa"/>
            <w:hideMark/>
          </w:tcPr>
          <w:p w14:paraId="3CA31792" w14:textId="265C8CCE" w:rsidR="004E184C" w:rsidRPr="004E184C" w:rsidRDefault="004E184C"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-0.01</w:t>
            </w:r>
          </w:p>
        </w:tc>
        <w:tc>
          <w:tcPr>
            <w:tcW w:w="2160" w:type="dxa"/>
            <w:hideMark/>
          </w:tcPr>
          <w:p w14:paraId="57CC2397" w14:textId="562B2FB8" w:rsidR="004E184C" w:rsidRPr="004E184C" w:rsidRDefault="00DA72DD"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0.99</w:t>
            </w:r>
          </w:p>
        </w:tc>
      </w:tr>
      <w:tr w:rsidR="004E184C" w:rsidRPr="004E184C" w14:paraId="14AF3565" w14:textId="77777777" w:rsidTr="00DA72DD">
        <w:trPr>
          <w:trHeight w:val="317"/>
        </w:trPr>
        <w:tc>
          <w:tcPr>
            <w:tcW w:w="2520" w:type="dxa"/>
            <w:hideMark/>
          </w:tcPr>
          <w:p w14:paraId="7D6D8986" w14:textId="4653D9A6" w:rsidR="004E184C" w:rsidRPr="004E184C" w:rsidRDefault="004E184C" w:rsidP="00601809">
            <w:pPr>
              <w:keepNext/>
              <w:rPr>
                <w:rFonts w:ascii="Times New Roman" w:hAnsi="Times New Roman" w:cs="Times New Roman"/>
                <w:b/>
                <w:bCs/>
                <w:color w:val="000000" w:themeColor="text1"/>
              </w:rPr>
            </w:pPr>
            <w:r w:rsidRPr="004E184C">
              <w:rPr>
                <w:rFonts w:ascii="Times New Roman" w:hAnsi="Times New Roman" w:cs="Times New Roman"/>
                <w:b/>
                <w:bCs/>
                <w:color w:val="000000" w:themeColor="text1"/>
              </w:rPr>
              <w:t xml:space="preserve">subject*goal </w:t>
            </w:r>
          </w:p>
        </w:tc>
        <w:tc>
          <w:tcPr>
            <w:tcW w:w="2160" w:type="dxa"/>
            <w:hideMark/>
          </w:tcPr>
          <w:p w14:paraId="46682621" w14:textId="08E1CF8F" w:rsidR="004E184C" w:rsidRPr="00DA72DD" w:rsidRDefault="004E184C" w:rsidP="00601809">
            <w:pPr>
              <w:keepNext/>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1.03</w:t>
            </w:r>
            <w:r w:rsidR="00DA72DD">
              <w:rPr>
                <w:rFonts w:ascii="Times New Roman" w:hAnsi="Times New Roman" w:cs="Times New Roman"/>
                <w:color w:val="000000"/>
                <w:lang w:val="it-IT" w:eastAsia="it-IT" w:bidi="bn-BD"/>
              </w:rPr>
              <w:t xml:space="preserve"> </w:t>
            </w:r>
            <w:r w:rsidRPr="00811AA8">
              <w:rPr>
                <w:rFonts w:ascii="Times New Roman" w:hAnsi="Times New Roman" w:cs="Times New Roman"/>
                <w:color w:val="000000"/>
                <w:lang w:val="it-IT" w:eastAsia="it-IT" w:bidi="bn-BD"/>
              </w:rPr>
              <w:t>(1.08)</w:t>
            </w:r>
          </w:p>
        </w:tc>
        <w:tc>
          <w:tcPr>
            <w:tcW w:w="2160" w:type="dxa"/>
            <w:hideMark/>
          </w:tcPr>
          <w:p w14:paraId="248BA152" w14:textId="37A94D9F" w:rsidR="004E184C" w:rsidRPr="004E184C" w:rsidRDefault="004E184C" w:rsidP="00601809">
            <w:pPr>
              <w:keepNext/>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0.96</w:t>
            </w:r>
          </w:p>
        </w:tc>
        <w:tc>
          <w:tcPr>
            <w:tcW w:w="2160" w:type="dxa"/>
            <w:hideMark/>
          </w:tcPr>
          <w:p w14:paraId="1BB89EC2" w14:textId="51D29616" w:rsidR="004E184C" w:rsidRPr="004E184C" w:rsidRDefault="004E184C" w:rsidP="00601809">
            <w:pPr>
              <w:keepNext/>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w:t>
            </w:r>
            <w:r w:rsidR="00DA72DD">
              <w:rPr>
                <w:rFonts w:ascii="Times New Roman" w:hAnsi="Times New Roman" w:cs="Times New Roman"/>
                <w:color w:val="000000"/>
                <w:lang w:val="it-IT" w:eastAsia="it-IT" w:bidi="bn-BD"/>
              </w:rPr>
              <w:t>.34</w:t>
            </w:r>
          </w:p>
        </w:tc>
      </w:tr>
      <w:tr w:rsidR="004E184C" w:rsidRPr="004E184C" w14:paraId="0ED86368" w14:textId="77777777" w:rsidTr="00DA72DD">
        <w:trPr>
          <w:trHeight w:val="317"/>
        </w:trPr>
        <w:tc>
          <w:tcPr>
            <w:tcW w:w="2520" w:type="dxa"/>
            <w:hideMark/>
          </w:tcPr>
          <w:p w14:paraId="20A03105" w14:textId="77777777" w:rsidR="004E184C" w:rsidRPr="004E184C" w:rsidRDefault="004E184C" w:rsidP="00601809">
            <w:pPr>
              <w:keepNext/>
              <w:spacing w:line="240" w:lineRule="auto"/>
              <w:rPr>
                <w:rFonts w:ascii="Times New Roman" w:hAnsi="Times New Roman" w:cs="Times New Roman"/>
                <w:b/>
                <w:bCs/>
                <w:color w:val="000000" w:themeColor="text1"/>
              </w:rPr>
            </w:pPr>
            <w:r w:rsidRPr="004E184C">
              <w:rPr>
                <w:rFonts w:ascii="Times New Roman" w:hAnsi="Times New Roman" w:cs="Times New Roman"/>
                <w:b/>
                <w:bCs/>
                <w:color w:val="000000" w:themeColor="text1"/>
              </w:rPr>
              <w:t>goal*different gender</w:t>
            </w:r>
          </w:p>
          <w:p w14:paraId="3C8551AD" w14:textId="30856AB0" w:rsidR="004E184C" w:rsidRPr="004E184C" w:rsidRDefault="004E184C" w:rsidP="00601809">
            <w:pPr>
              <w:keepNext/>
              <w:spacing w:line="240" w:lineRule="auto"/>
              <w:rPr>
                <w:rFonts w:ascii="Times New Roman" w:hAnsi="Times New Roman" w:cs="Times New Roman"/>
                <w:b/>
                <w:bCs/>
                <w:color w:val="000000" w:themeColor="text1"/>
              </w:rPr>
            </w:pPr>
          </w:p>
        </w:tc>
        <w:tc>
          <w:tcPr>
            <w:tcW w:w="2160" w:type="dxa"/>
            <w:hideMark/>
          </w:tcPr>
          <w:p w14:paraId="1DFBC41C" w14:textId="59E451BA" w:rsidR="004E184C" w:rsidRPr="00DA72DD" w:rsidRDefault="004E184C"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0.14 (1.16)</w:t>
            </w:r>
          </w:p>
        </w:tc>
        <w:tc>
          <w:tcPr>
            <w:tcW w:w="2160" w:type="dxa"/>
            <w:hideMark/>
          </w:tcPr>
          <w:p w14:paraId="5E9F2689" w14:textId="4EA4E04C" w:rsidR="004E184C" w:rsidRPr="004E184C" w:rsidRDefault="004E184C"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0.12</w:t>
            </w:r>
          </w:p>
        </w:tc>
        <w:tc>
          <w:tcPr>
            <w:tcW w:w="2160" w:type="dxa"/>
            <w:hideMark/>
          </w:tcPr>
          <w:p w14:paraId="1A9630BC" w14:textId="6B6ECBCE" w:rsidR="004E184C" w:rsidRPr="004E184C" w:rsidRDefault="00DA72DD"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0.90</w:t>
            </w:r>
          </w:p>
        </w:tc>
      </w:tr>
      <w:tr w:rsidR="004E184C" w:rsidRPr="004E184C" w14:paraId="43F62CA6" w14:textId="77777777" w:rsidTr="00DA72DD">
        <w:trPr>
          <w:trHeight w:val="317"/>
        </w:trPr>
        <w:tc>
          <w:tcPr>
            <w:tcW w:w="2520" w:type="dxa"/>
            <w:hideMark/>
          </w:tcPr>
          <w:p w14:paraId="1E6A4EB8" w14:textId="2BB55DE4" w:rsidR="004E184C" w:rsidRPr="004E184C" w:rsidRDefault="004E184C" w:rsidP="00601809">
            <w:pPr>
              <w:keepNext/>
              <w:spacing w:line="240" w:lineRule="auto"/>
              <w:rPr>
                <w:rFonts w:ascii="Times New Roman" w:hAnsi="Times New Roman" w:cs="Times New Roman"/>
                <w:b/>
                <w:bCs/>
                <w:color w:val="000000" w:themeColor="text1"/>
              </w:rPr>
            </w:pPr>
            <w:r w:rsidRPr="004E184C">
              <w:rPr>
                <w:rFonts w:ascii="Times New Roman" w:hAnsi="Times New Roman" w:cs="Times New Roman"/>
                <w:b/>
                <w:bCs/>
                <w:color w:val="000000" w:themeColor="text1"/>
              </w:rPr>
              <w:t xml:space="preserve">subject*different gender </w:t>
            </w:r>
          </w:p>
        </w:tc>
        <w:tc>
          <w:tcPr>
            <w:tcW w:w="2160" w:type="dxa"/>
            <w:hideMark/>
          </w:tcPr>
          <w:p w14:paraId="7B62842B" w14:textId="27202FED" w:rsidR="004E184C" w:rsidRPr="00DA72DD" w:rsidRDefault="004E184C"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0.51 (1.08</w:t>
            </w:r>
            <w:r w:rsidRPr="004E184C">
              <w:rPr>
                <w:rFonts w:ascii="Times New Roman" w:hAnsi="Times New Roman" w:cs="Times New Roman"/>
                <w:color w:val="000000"/>
                <w:lang w:val="it-IT" w:eastAsia="it-IT" w:bidi="bn-BD"/>
              </w:rPr>
              <w:t>)</w:t>
            </w:r>
          </w:p>
        </w:tc>
        <w:tc>
          <w:tcPr>
            <w:tcW w:w="2160" w:type="dxa"/>
            <w:hideMark/>
          </w:tcPr>
          <w:p w14:paraId="0D75708B" w14:textId="239CC02A" w:rsidR="004E184C" w:rsidRPr="004E184C" w:rsidRDefault="004E184C"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0.47</w:t>
            </w:r>
          </w:p>
        </w:tc>
        <w:tc>
          <w:tcPr>
            <w:tcW w:w="2160" w:type="dxa"/>
            <w:hideMark/>
          </w:tcPr>
          <w:p w14:paraId="6D6B2EFA" w14:textId="6CE01411" w:rsidR="004E184C" w:rsidRPr="004E184C" w:rsidRDefault="00DA72DD"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0.64</w:t>
            </w:r>
          </w:p>
        </w:tc>
      </w:tr>
      <w:tr w:rsidR="004E184C" w:rsidRPr="004E184C" w14:paraId="602E28CB" w14:textId="77777777" w:rsidTr="00DA72DD">
        <w:trPr>
          <w:trHeight w:val="317"/>
        </w:trPr>
        <w:tc>
          <w:tcPr>
            <w:tcW w:w="2520" w:type="dxa"/>
            <w:hideMark/>
          </w:tcPr>
          <w:p w14:paraId="561BB1A6" w14:textId="4FC33DE1" w:rsidR="004E184C" w:rsidRPr="004E184C" w:rsidRDefault="004E184C" w:rsidP="00601809">
            <w:pPr>
              <w:keepNext/>
              <w:spacing w:line="240" w:lineRule="auto"/>
              <w:rPr>
                <w:rFonts w:ascii="Times New Roman" w:hAnsi="Times New Roman" w:cs="Times New Roman"/>
                <w:b/>
                <w:bCs/>
                <w:color w:val="000000" w:themeColor="text1"/>
              </w:rPr>
            </w:pPr>
            <w:r w:rsidRPr="004E184C">
              <w:rPr>
                <w:rFonts w:ascii="Times New Roman" w:hAnsi="Times New Roman" w:cs="Times New Roman"/>
                <w:b/>
                <w:bCs/>
                <w:color w:val="000000" w:themeColor="text1"/>
              </w:rPr>
              <w:t xml:space="preserve">subject*goal*different gender </w:t>
            </w:r>
          </w:p>
        </w:tc>
        <w:tc>
          <w:tcPr>
            <w:tcW w:w="2160" w:type="dxa"/>
            <w:hideMark/>
          </w:tcPr>
          <w:p w14:paraId="41A0E63B" w14:textId="18DB6B65" w:rsidR="004E184C" w:rsidRPr="00DA72DD" w:rsidRDefault="004E184C"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-1.69 (2.15)</w:t>
            </w:r>
          </w:p>
        </w:tc>
        <w:tc>
          <w:tcPr>
            <w:tcW w:w="2160" w:type="dxa"/>
            <w:hideMark/>
          </w:tcPr>
          <w:p w14:paraId="54AD4BA3" w14:textId="4D69A6A9" w:rsidR="004E184C" w:rsidRPr="004E184C" w:rsidRDefault="004E184C"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-0.79</w:t>
            </w:r>
          </w:p>
        </w:tc>
        <w:tc>
          <w:tcPr>
            <w:tcW w:w="2160" w:type="dxa"/>
            <w:hideMark/>
          </w:tcPr>
          <w:p w14:paraId="692B7EC1" w14:textId="0F23D647" w:rsidR="004E184C" w:rsidRPr="004E184C" w:rsidRDefault="00DA72DD"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0.44</w:t>
            </w:r>
          </w:p>
          <w:p w14:paraId="173B7CC4" w14:textId="3710B67C" w:rsidR="004E184C" w:rsidRPr="004E184C" w:rsidRDefault="004E184C" w:rsidP="00601809">
            <w:pPr>
              <w:keepNext/>
              <w:spacing w:line="240" w:lineRule="auto"/>
              <w:jc w:val="right"/>
              <w:rPr>
                <w:rFonts w:ascii="Times New Roman" w:hAnsi="Times New Roman" w:cs="Times New Roman"/>
                <w:color w:val="000000" w:themeColor="text1"/>
              </w:rPr>
            </w:pPr>
          </w:p>
        </w:tc>
      </w:tr>
    </w:tbl>
    <w:p w14:paraId="674F0FE0" w14:textId="77777777" w:rsidR="008615B4" w:rsidRDefault="008615B4" w:rsidP="00DA72DD">
      <w:pPr>
        <w:ind w:firstLine="720"/>
      </w:pPr>
      <w:r>
        <w:t>* maximal random slopes included</w:t>
      </w:r>
    </w:p>
    <w:p w14:paraId="77519701" w14:textId="77777777" w:rsidR="00DA72DD" w:rsidRDefault="00DA72DD" w:rsidP="00DA72DD">
      <w:pPr>
        <w:ind w:firstLine="720"/>
      </w:pPr>
    </w:p>
    <w:p w14:paraId="783465A2" w14:textId="0D2BF3DC" w:rsidR="00601809" w:rsidRDefault="00FF61B2" w:rsidP="00FF61B2">
      <w:pPr>
        <w:spacing w:line="240" w:lineRule="auto"/>
      </w:pPr>
      <w:r>
        <w:br w:type="page"/>
      </w:r>
    </w:p>
    <w:p w14:paraId="5F20E196" w14:textId="53299414" w:rsidR="008615B4" w:rsidRDefault="008615B4" w:rsidP="00CA096C">
      <w:pPr>
        <w:keepNext/>
        <w:keepLines/>
      </w:pPr>
      <w:r>
        <w:lastRenderedPageBreak/>
        <w:t>Table 1</w:t>
      </w:r>
      <w:r w:rsidR="004D0DF6">
        <w:t>2</w:t>
      </w:r>
      <w:r>
        <w:t xml:space="preserve">. </w:t>
      </w:r>
      <w:r w:rsidR="00EB7437">
        <w:t xml:space="preserve">Experiment 2 </w:t>
      </w:r>
      <w:r>
        <w:t>Latency model: how do experimental conditions affect latency to respond?</w:t>
      </w:r>
    </w:p>
    <w:tbl>
      <w:tblPr>
        <w:tblStyle w:val="TableGrid"/>
        <w:tblpPr w:leftFromText="141" w:rightFromText="141" w:vertAnchor="text" w:tblpY="1"/>
        <w:tblW w:w="9000" w:type="dxa"/>
        <w:tblLook w:val="04A0" w:firstRow="1" w:lastRow="0" w:firstColumn="1" w:lastColumn="0" w:noHBand="0" w:noVBand="1"/>
      </w:tblPr>
      <w:tblGrid>
        <w:gridCol w:w="2520"/>
        <w:gridCol w:w="2160"/>
        <w:gridCol w:w="2160"/>
        <w:gridCol w:w="2160"/>
      </w:tblGrid>
      <w:tr w:rsidR="00CA3F52" w:rsidRPr="004E184C" w14:paraId="6EF4EB8B" w14:textId="77777777" w:rsidTr="00DA72DD">
        <w:trPr>
          <w:trHeight w:val="317"/>
        </w:trPr>
        <w:tc>
          <w:tcPr>
            <w:tcW w:w="2520" w:type="dxa"/>
            <w:hideMark/>
          </w:tcPr>
          <w:p w14:paraId="5957F717" w14:textId="77777777" w:rsidR="00CA3F52" w:rsidRPr="005701FE" w:rsidRDefault="00CA3F52" w:rsidP="00601809">
            <w:pPr>
              <w:keepNext/>
              <w:spacing w:line="240" w:lineRule="auto"/>
              <w:rPr>
                <w:rFonts w:ascii="Times New Roman" w:hAnsi="Times New Roman" w:cs="Times New Roman"/>
                <w:b/>
                <w:bCs/>
                <w:lang w:val="it-IT"/>
              </w:rPr>
            </w:pPr>
            <w:r w:rsidRPr="005701FE">
              <w:rPr>
                <w:rFonts w:ascii="Times New Roman" w:hAnsi="Times New Roman" w:cs="Times New Roman"/>
                <w:b/>
                <w:bCs/>
              </w:rPr>
              <w:t>Effect</w:t>
            </w:r>
          </w:p>
        </w:tc>
        <w:tc>
          <w:tcPr>
            <w:tcW w:w="2160" w:type="dxa"/>
            <w:hideMark/>
          </w:tcPr>
          <w:p w14:paraId="1EAF11C3" w14:textId="77777777" w:rsidR="00CA3F52" w:rsidRPr="005701FE" w:rsidRDefault="00CA3F52" w:rsidP="00601809">
            <w:pPr>
              <w:keepNext/>
              <w:spacing w:line="240" w:lineRule="auto"/>
              <w:rPr>
                <w:rFonts w:ascii="Times New Roman" w:hAnsi="Times New Roman" w:cs="Times New Roman"/>
                <w:b/>
                <w:bCs/>
              </w:rPr>
            </w:pPr>
            <w:r w:rsidRPr="005701FE">
              <w:rPr>
                <w:rFonts w:ascii="Times New Roman" w:hAnsi="Times New Roman" w:cs="Times New Roman"/>
                <w:b/>
                <w:bCs/>
              </w:rPr>
              <w:t xml:space="preserve">Estimate </w:t>
            </w:r>
          </w:p>
          <w:p w14:paraId="3D49289A" w14:textId="77777777" w:rsidR="00CA3F52" w:rsidRPr="005701FE" w:rsidRDefault="00CA3F52" w:rsidP="00601809">
            <w:pPr>
              <w:keepNext/>
              <w:spacing w:line="240" w:lineRule="auto"/>
              <w:rPr>
                <w:rFonts w:ascii="Times New Roman" w:hAnsi="Times New Roman" w:cs="Times New Roman"/>
                <w:b/>
                <w:bCs/>
              </w:rPr>
            </w:pPr>
            <w:r w:rsidRPr="005701FE">
              <w:rPr>
                <w:rFonts w:ascii="Times New Roman" w:hAnsi="Times New Roman" w:cs="Times New Roman"/>
                <w:b/>
                <w:bCs/>
              </w:rPr>
              <w:t>(Standard Error)</w:t>
            </w:r>
          </w:p>
        </w:tc>
        <w:tc>
          <w:tcPr>
            <w:tcW w:w="2160" w:type="dxa"/>
            <w:hideMark/>
          </w:tcPr>
          <w:p w14:paraId="3AA76FB7" w14:textId="77777777" w:rsidR="00CA3F52" w:rsidRPr="005701FE" w:rsidRDefault="00CA3F52" w:rsidP="00601809">
            <w:pPr>
              <w:keepNext/>
              <w:spacing w:line="240" w:lineRule="auto"/>
              <w:rPr>
                <w:rFonts w:ascii="Times New Roman" w:hAnsi="Times New Roman" w:cs="Times New Roman"/>
                <w:b/>
                <w:bCs/>
              </w:rPr>
            </w:pPr>
            <w:r w:rsidRPr="005701FE">
              <w:rPr>
                <w:rFonts w:ascii="Times New Roman" w:hAnsi="Times New Roman" w:cs="Times New Roman"/>
                <w:b/>
                <w:bCs/>
              </w:rPr>
              <w:t>t Value</w:t>
            </w:r>
          </w:p>
        </w:tc>
        <w:tc>
          <w:tcPr>
            <w:tcW w:w="2160" w:type="dxa"/>
            <w:hideMark/>
          </w:tcPr>
          <w:p w14:paraId="44759C2B" w14:textId="77777777" w:rsidR="00CA3F52" w:rsidRPr="005701FE" w:rsidRDefault="00CA3F52" w:rsidP="00601809">
            <w:pPr>
              <w:keepNext/>
              <w:spacing w:line="240" w:lineRule="auto"/>
              <w:rPr>
                <w:rFonts w:ascii="Times New Roman" w:hAnsi="Times New Roman" w:cs="Times New Roman"/>
                <w:b/>
                <w:bCs/>
              </w:rPr>
            </w:pPr>
            <w:r w:rsidRPr="005701FE">
              <w:rPr>
                <w:rFonts w:ascii="Times New Roman" w:hAnsi="Times New Roman" w:cs="Times New Roman"/>
                <w:b/>
                <w:bCs/>
              </w:rPr>
              <w:t>Pr &gt; |t|</w:t>
            </w:r>
          </w:p>
        </w:tc>
      </w:tr>
      <w:tr w:rsidR="00CA3F52" w:rsidRPr="004E184C" w14:paraId="124DFBF0" w14:textId="77777777" w:rsidTr="00DA72DD">
        <w:trPr>
          <w:trHeight w:val="317"/>
        </w:trPr>
        <w:tc>
          <w:tcPr>
            <w:tcW w:w="2520" w:type="dxa"/>
            <w:hideMark/>
          </w:tcPr>
          <w:p w14:paraId="44FD301A" w14:textId="77777777" w:rsidR="00CA3F52" w:rsidRPr="005701FE" w:rsidRDefault="00CA3F52" w:rsidP="00601809">
            <w:pPr>
              <w:keepNext/>
              <w:spacing w:line="240" w:lineRule="auto"/>
              <w:rPr>
                <w:rFonts w:ascii="Times New Roman" w:hAnsi="Times New Roman" w:cs="Times New Roman"/>
                <w:b/>
                <w:bCs/>
                <w:color w:val="000000" w:themeColor="text1"/>
              </w:rPr>
            </w:pPr>
            <w:r w:rsidRPr="005701FE">
              <w:rPr>
                <w:rFonts w:ascii="Times New Roman" w:hAnsi="Times New Roman" w:cs="Times New Roman"/>
                <w:b/>
                <w:bCs/>
                <w:color w:val="000000" w:themeColor="text1"/>
              </w:rPr>
              <w:t>subject continuation</w:t>
            </w:r>
          </w:p>
        </w:tc>
        <w:tc>
          <w:tcPr>
            <w:tcW w:w="2160" w:type="dxa"/>
            <w:hideMark/>
          </w:tcPr>
          <w:p w14:paraId="3B48BDAE" w14:textId="47DAC0B3" w:rsidR="00CA3F52" w:rsidRPr="005701FE" w:rsidRDefault="005701FE"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-0.03</w:t>
            </w:r>
            <w:r w:rsidR="003A2CE7">
              <w:rPr>
                <w:rFonts w:ascii="Times New Roman" w:hAnsi="Times New Roman" w:cs="Times New Roman"/>
                <w:color w:val="000000"/>
                <w:lang w:val="it-IT" w:eastAsia="it-IT" w:bidi="bn-BD"/>
              </w:rPr>
              <w:t>6</w:t>
            </w:r>
            <w:r w:rsidR="00DA72DD">
              <w:rPr>
                <w:rFonts w:ascii="Times New Roman" w:hAnsi="Times New Roman" w:cs="Times New Roman"/>
                <w:color w:val="000000"/>
                <w:lang w:val="it-IT" w:eastAsia="it-IT" w:bidi="bn-BD"/>
              </w:rPr>
              <w:t xml:space="preserve"> </w:t>
            </w:r>
            <w:r w:rsidRPr="005701FE">
              <w:rPr>
                <w:rFonts w:ascii="Times New Roman" w:hAnsi="Times New Roman" w:cs="Times New Roman"/>
                <w:color w:val="000000"/>
                <w:lang w:val="it-IT" w:eastAsia="it-IT" w:bidi="bn-BD"/>
              </w:rPr>
              <w:t>(</w:t>
            </w:r>
            <w:r w:rsidRPr="00811AA8">
              <w:rPr>
                <w:rFonts w:ascii="Times New Roman" w:hAnsi="Times New Roman" w:cs="Times New Roman"/>
                <w:color w:val="000000"/>
                <w:lang w:val="it-IT" w:eastAsia="it-IT" w:bidi="bn-BD"/>
              </w:rPr>
              <w:t>0.0</w:t>
            </w:r>
            <w:r w:rsidR="003A2CE7">
              <w:rPr>
                <w:rFonts w:ascii="Times New Roman" w:hAnsi="Times New Roman" w:cs="Times New Roman"/>
                <w:color w:val="000000"/>
                <w:lang w:val="it-IT" w:eastAsia="it-IT" w:bidi="bn-BD"/>
              </w:rPr>
              <w:t>4</w:t>
            </w:r>
            <w:r w:rsidRPr="005701FE">
              <w:rPr>
                <w:rFonts w:ascii="Times New Roman" w:hAnsi="Times New Roman" w:cs="Times New Roman"/>
                <w:color w:val="000000"/>
                <w:lang w:val="it-IT" w:eastAsia="it-IT" w:bidi="bn-BD"/>
              </w:rPr>
              <w:t>)</w:t>
            </w:r>
          </w:p>
          <w:p w14:paraId="2FDC7754" w14:textId="0BB7A501" w:rsidR="005701FE" w:rsidRPr="005701FE" w:rsidRDefault="005701FE" w:rsidP="00601809">
            <w:pPr>
              <w:keepNext/>
              <w:spacing w:line="240" w:lineRule="auto"/>
              <w:jc w:val="right"/>
              <w:rPr>
                <w:rFonts w:ascii="Times New Roman" w:hAnsi="Times New Roman" w:cs="Times New Roman"/>
                <w:color w:val="000000" w:themeColor="text1"/>
              </w:rPr>
            </w:pPr>
          </w:p>
        </w:tc>
        <w:tc>
          <w:tcPr>
            <w:tcW w:w="2160" w:type="dxa"/>
            <w:hideMark/>
          </w:tcPr>
          <w:p w14:paraId="37DA9195" w14:textId="44C21990" w:rsidR="00CA3F52" w:rsidRPr="005701FE" w:rsidRDefault="005701FE"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-0.97</w:t>
            </w:r>
          </w:p>
        </w:tc>
        <w:tc>
          <w:tcPr>
            <w:tcW w:w="2160" w:type="dxa"/>
            <w:hideMark/>
          </w:tcPr>
          <w:p w14:paraId="570FC038" w14:textId="633478AF" w:rsidR="00CA3F52" w:rsidRPr="005701FE" w:rsidRDefault="00DA72DD"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0.35</w:t>
            </w:r>
          </w:p>
        </w:tc>
      </w:tr>
      <w:tr w:rsidR="00CA3F52" w:rsidRPr="004E184C" w14:paraId="468339EE" w14:textId="77777777" w:rsidTr="00DA72DD">
        <w:trPr>
          <w:trHeight w:val="317"/>
        </w:trPr>
        <w:tc>
          <w:tcPr>
            <w:tcW w:w="2520" w:type="dxa"/>
            <w:hideMark/>
          </w:tcPr>
          <w:p w14:paraId="54C6E6A0" w14:textId="77777777" w:rsidR="00CA3F52" w:rsidRPr="005701FE" w:rsidRDefault="00CA3F52" w:rsidP="00601809">
            <w:pPr>
              <w:keepNext/>
              <w:keepLines/>
              <w:rPr>
                <w:rFonts w:ascii="Times New Roman" w:hAnsi="Times New Roman" w:cs="Times New Roman"/>
                <w:b/>
                <w:bCs/>
                <w:color w:val="000000" w:themeColor="text1"/>
              </w:rPr>
            </w:pPr>
            <w:r w:rsidRPr="005701FE">
              <w:rPr>
                <w:rFonts w:ascii="Times New Roman" w:hAnsi="Times New Roman" w:cs="Times New Roman"/>
                <w:b/>
                <w:bCs/>
                <w:color w:val="000000" w:themeColor="text1"/>
              </w:rPr>
              <w:t>goal continuation</w:t>
            </w:r>
          </w:p>
        </w:tc>
        <w:tc>
          <w:tcPr>
            <w:tcW w:w="2160" w:type="dxa"/>
            <w:hideMark/>
          </w:tcPr>
          <w:p w14:paraId="7213846F" w14:textId="30E38454" w:rsidR="00E856B8" w:rsidRPr="00E856B8" w:rsidRDefault="005701FE" w:rsidP="00E856B8">
            <w:pPr>
              <w:keepNext/>
              <w:keepLines/>
              <w:ind w:right="-101"/>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-0.07</w:t>
            </w:r>
            <w:r w:rsidR="003A2CE7">
              <w:rPr>
                <w:rFonts w:ascii="Times New Roman" w:hAnsi="Times New Roman" w:cs="Times New Roman"/>
                <w:color w:val="000000"/>
                <w:lang w:val="it-IT" w:eastAsia="it-IT" w:bidi="bn-BD"/>
              </w:rPr>
              <w:t>1</w:t>
            </w:r>
            <w:r w:rsidRPr="005701FE">
              <w:rPr>
                <w:rFonts w:ascii="Times New Roman" w:hAnsi="Times New Roman" w:cs="Times New Roman"/>
                <w:color w:val="000000"/>
                <w:lang w:val="it-IT" w:eastAsia="it-IT" w:bidi="bn-BD"/>
              </w:rPr>
              <w:t xml:space="preserve"> (</w:t>
            </w:r>
            <w:r w:rsidRPr="00811AA8">
              <w:rPr>
                <w:rFonts w:ascii="Times New Roman" w:hAnsi="Times New Roman" w:cs="Times New Roman"/>
                <w:color w:val="000000"/>
                <w:lang w:val="it-IT" w:eastAsia="it-IT" w:bidi="bn-BD"/>
              </w:rPr>
              <w:t>0.0</w:t>
            </w:r>
            <w:r w:rsidR="003A2CE7">
              <w:rPr>
                <w:rFonts w:ascii="Times New Roman" w:hAnsi="Times New Roman" w:cs="Times New Roman"/>
                <w:color w:val="000000"/>
                <w:lang w:val="it-IT" w:eastAsia="it-IT" w:bidi="bn-BD"/>
              </w:rPr>
              <w:t>5</w:t>
            </w:r>
            <w:r w:rsidRPr="005701FE">
              <w:rPr>
                <w:rFonts w:ascii="Times New Roman" w:hAnsi="Times New Roman" w:cs="Times New Roman"/>
                <w:color w:val="000000"/>
                <w:lang w:val="it-IT" w:eastAsia="it-IT" w:bidi="bn-BD"/>
              </w:rPr>
              <w:t>)</w:t>
            </w:r>
          </w:p>
        </w:tc>
        <w:tc>
          <w:tcPr>
            <w:tcW w:w="2160" w:type="dxa"/>
            <w:hideMark/>
          </w:tcPr>
          <w:p w14:paraId="71CC7F25" w14:textId="5844002F" w:rsidR="00CA3F52" w:rsidRPr="005701FE" w:rsidRDefault="005701FE" w:rsidP="00601809">
            <w:pPr>
              <w:keepNext/>
              <w:keepLines/>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-1.42</w:t>
            </w:r>
          </w:p>
        </w:tc>
        <w:tc>
          <w:tcPr>
            <w:tcW w:w="2160" w:type="dxa"/>
            <w:hideMark/>
          </w:tcPr>
          <w:p w14:paraId="4D36B324" w14:textId="72154332" w:rsidR="00CA3F52" w:rsidRPr="005701FE" w:rsidRDefault="00DA72DD" w:rsidP="00601809">
            <w:pPr>
              <w:keepNext/>
              <w:keepLines/>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0.17</w:t>
            </w:r>
          </w:p>
        </w:tc>
      </w:tr>
      <w:tr w:rsidR="00CA3F52" w:rsidRPr="004E184C" w14:paraId="53FC5B10" w14:textId="77777777" w:rsidTr="00DA72DD">
        <w:trPr>
          <w:trHeight w:val="317"/>
        </w:trPr>
        <w:tc>
          <w:tcPr>
            <w:tcW w:w="2520" w:type="dxa"/>
            <w:hideMark/>
          </w:tcPr>
          <w:p w14:paraId="33522EBC" w14:textId="77777777" w:rsidR="00CA3F52" w:rsidRPr="005701FE" w:rsidRDefault="00CA3F52" w:rsidP="00601809">
            <w:pPr>
              <w:keepNext/>
              <w:keepLines/>
              <w:spacing w:line="240" w:lineRule="auto"/>
              <w:rPr>
                <w:rFonts w:ascii="Times New Roman" w:hAnsi="Times New Roman" w:cs="Times New Roman"/>
                <w:b/>
                <w:bCs/>
                <w:color w:val="000000" w:themeColor="text1"/>
              </w:rPr>
            </w:pPr>
            <w:r w:rsidRPr="005701FE">
              <w:rPr>
                <w:rFonts w:ascii="Times New Roman" w:hAnsi="Times New Roman" w:cs="Times New Roman"/>
                <w:b/>
                <w:bCs/>
                <w:color w:val="000000" w:themeColor="text1"/>
              </w:rPr>
              <w:t>different gender continuation</w:t>
            </w:r>
          </w:p>
        </w:tc>
        <w:tc>
          <w:tcPr>
            <w:tcW w:w="2160" w:type="dxa"/>
            <w:hideMark/>
          </w:tcPr>
          <w:p w14:paraId="18FB5584" w14:textId="5ED853D7" w:rsidR="005701FE" w:rsidRPr="00DA72DD" w:rsidRDefault="005701FE" w:rsidP="00601809">
            <w:pPr>
              <w:keepNext/>
              <w:keepLines/>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0.024</w:t>
            </w:r>
            <w:r w:rsidR="00DA72DD">
              <w:rPr>
                <w:rFonts w:ascii="Times New Roman" w:hAnsi="Times New Roman" w:cs="Times New Roman"/>
                <w:color w:val="000000"/>
                <w:lang w:val="it-IT" w:eastAsia="it-IT" w:bidi="bn-BD"/>
              </w:rPr>
              <w:t xml:space="preserve"> </w:t>
            </w:r>
            <w:r w:rsidRPr="005701FE">
              <w:rPr>
                <w:rFonts w:ascii="Times New Roman" w:hAnsi="Times New Roman" w:cs="Times New Roman"/>
                <w:color w:val="000000"/>
                <w:lang w:val="it-IT" w:eastAsia="it-IT" w:bidi="bn-BD"/>
              </w:rPr>
              <w:t>(</w:t>
            </w:r>
            <w:r w:rsidRPr="00811AA8">
              <w:rPr>
                <w:rFonts w:ascii="Times New Roman" w:hAnsi="Times New Roman" w:cs="Times New Roman"/>
                <w:color w:val="000000"/>
                <w:lang w:val="it-IT" w:eastAsia="it-IT" w:bidi="bn-BD"/>
              </w:rPr>
              <w:t>0.05</w:t>
            </w:r>
            <w:r w:rsidRPr="005701FE">
              <w:rPr>
                <w:rFonts w:ascii="Times New Roman" w:hAnsi="Times New Roman" w:cs="Times New Roman"/>
                <w:color w:val="000000"/>
                <w:lang w:val="it-IT" w:eastAsia="it-IT" w:bidi="bn-BD"/>
              </w:rPr>
              <w:t>)</w:t>
            </w:r>
          </w:p>
        </w:tc>
        <w:tc>
          <w:tcPr>
            <w:tcW w:w="2160" w:type="dxa"/>
            <w:hideMark/>
          </w:tcPr>
          <w:p w14:paraId="7D0C7288" w14:textId="7EA8062D" w:rsidR="00CA3F52" w:rsidRPr="005701FE" w:rsidRDefault="005701FE" w:rsidP="00601809">
            <w:pPr>
              <w:keepNext/>
              <w:keepLines/>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0.46</w:t>
            </w:r>
          </w:p>
        </w:tc>
        <w:tc>
          <w:tcPr>
            <w:tcW w:w="2160" w:type="dxa"/>
            <w:hideMark/>
          </w:tcPr>
          <w:p w14:paraId="6192B37B" w14:textId="3F327FD8" w:rsidR="00CA3F52" w:rsidRPr="005701FE" w:rsidRDefault="00DA72DD" w:rsidP="00601809">
            <w:pPr>
              <w:keepNext/>
              <w:keepLines/>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0.65</w:t>
            </w:r>
          </w:p>
        </w:tc>
      </w:tr>
      <w:tr w:rsidR="00CA3F52" w:rsidRPr="004E184C" w14:paraId="7A9B138D" w14:textId="77777777" w:rsidTr="00DA72DD">
        <w:trPr>
          <w:trHeight w:val="317"/>
        </w:trPr>
        <w:tc>
          <w:tcPr>
            <w:tcW w:w="2520" w:type="dxa"/>
            <w:hideMark/>
          </w:tcPr>
          <w:p w14:paraId="133E4570" w14:textId="77777777" w:rsidR="00CA3F52" w:rsidRPr="005701FE" w:rsidRDefault="00CA3F52" w:rsidP="00601809">
            <w:pPr>
              <w:keepNext/>
              <w:keepLines/>
              <w:spacing w:line="240" w:lineRule="auto"/>
              <w:rPr>
                <w:rFonts w:ascii="Times New Roman" w:hAnsi="Times New Roman" w:cs="Times New Roman"/>
                <w:b/>
                <w:bCs/>
                <w:color w:val="000000" w:themeColor="text1"/>
              </w:rPr>
            </w:pPr>
            <w:r w:rsidRPr="005701FE">
              <w:rPr>
                <w:rFonts w:ascii="Times New Roman" w:hAnsi="Times New Roman" w:cs="Times New Roman"/>
                <w:b/>
                <w:bCs/>
                <w:color w:val="000000" w:themeColor="text1"/>
              </w:rPr>
              <w:t>subject*goal continuation</w:t>
            </w:r>
          </w:p>
        </w:tc>
        <w:tc>
          <w:tcPr>
            <w:tcW w:w="2160" w:type="dxa"/>
            <w:hideMark/>
          </w:tcPr>
          <w:p w14:paraId="75D1B3EB" w14:textId="481202F7" w:rsidR="005701FE" w:rsidRPr="00DA72DD" w:rsidRDefault="005701FE" w:rsidP="00601809">
            <w:pPr>
              <w:keepNext/>
              <w:keepLines/>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0.14</w:t>
            </w:r>
            <w:r w:rsidR="00DA72DD">
              <w:rPr>
                <w:rFonts w:ascii="Times New Roman" w:hAnsi="Times New Roman" w:cs="Times New Roman"/>
                <w:color w:val="000000"/>
                <w:lang w:val="it-IT" w:eastAsia="it-IT" w:bidi="bn-BD"/>
              </w:rPr>
              <w:t xml:space="preserve"> </w:t>
            </w:r>
            <w:r w:rsidRPr="005701FE">
              <w:rPr>
                <w:rFonts w:ascii="Times New Roman" w:hAnsi="Times New Roman" w:cs="Times New Roman"/>
                <w:color w:val="000000"/>
                <w:lang w:val="it-IT" w:eastAsia="it-IT" w:bidi="bn-BD"/>
              </w:rPr>
              <w:t>(</w:t>
            </w:r>
            <w:r w:rsidRPr="00811AA8">
              <w:rPr>
                <w:rFonts w:ascii="Times New Roman" w:hAnsi="Times New Roman" w:cs="Times New Roman"/>
                <w:color w:val="000000"/>
                <w:lang w:val="it-IT" w:eastAsia="it-IT" w:bidi="bn-BD"/>
              </w:rPr>
              <w:t>0.07</w:t>
            </w:r>
            <w:r w:rsidRPr="005701FE">
              <w:rPr>
                <w:rFonts w:ascii="Times New Roman" w:hAnsi="Times New Roman" w:cs="Times New Roman"/>
                <w:color w:val="000000"/>
                <w:lang w:val="it-IT" w:eastAsia="it-IT" w:bidi="bn-BD"/>
              </w:rPr>
              <w:t>)</w:t>
            </w:r>
          </w:p>
        </w:tc>
        <w:tc>
          <w:tcPr>
            <w:tcW w:w="2160" w:type="dxa"/>
            <w:hideMark/>
          </w:tcPr>
          <w:p w14:paraId="08F03BA8" w14:textId="04E115DD" w:rsidR="00CA3F52" w:rsidRPr="005701FE" w:rsidRDefault="005701FE" w:rsidP="00601809">
            <w:pPr>
              <w:keepNext/>
              <w:keepLines/>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1.9</w:t>
            </w:r>
          </w:p>
        </w:tc>
        <w:tc>
          <w:tcPr>
            <w:tcW w:w="2160" w:type="dxa"/>
            <w:hideMark/>
          </w:tcPr>
          <w:p w14:paraId="032D441F" w14:textId="563C2E85" w:rsidR="00CA3F52" w:rsidRPr="005701FE" w:rsidRDefault="00DA72DD" w:rsidP="00601809">
            <w:pPr>
              <w:keepNext/>
              <w:keepLines/>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0.06</w:t>
            </w:r>
          </w:p>
        </w:tc>
      </w:tr>
      <w:tr w:rsidR="00CA3F52" w:rsidRPr="004E184C" w14:paraId="7D2C0D0B" w14:textId="77777777" w:rsidTr="00DA72DD">
        <w:trPr>
          <w:trHeight w:val="292"/>
        </w:trPr>
        <w:tc>
          <w:tcPr>
            <w:tcW w:w="2520" w:type="dxa"/>
            <w:hideMark/>
          </w:tcPr>
          <w:p w14:paraId="7703D152" w14:textId="07776B86" w:rsidR="00CA3F52" w:rsidRPr="005701FE" w:rsidRDefault="00CA3F52" w:rsidP="00601809">
            <w:pPr>
              <w:keepNext/>
              <w:keepLines/>
              <w:spacing w:line="240" w:lineRule="auto"/>
              <w:rPr>
                <w:rFonts w:ascii="Times New Roman" w:hAnsi="Times New Roman" w:cs="Times New Roman"/>
                <w:b/>
                <w:bCs/>
                <w:color w:val="000000" w:themeColor="text1"/>
              </w:rPr>
            </w:pPr>
            <w:r w:rsidRPr="005701FE">
              <w:rPr>
                <w:rFonts w:ascii="Times New Roman" w:hAnsi="Times New Roman" w:cs="Times New Roman"/>
                <w:b/>
                <w:bCs/>
                <w:color w:val="000000" w:themeColor="text1"/>
              </w:rPr>
              <w:t>subject*</w:t>
            </w:r>
            <w:r w:rsidR="005701FE">
              <w:rPr>
                <w:rFonts w:ascii="Times New Roman" w:hAnsi="Times New Roman" w:cs="Times New Roman"/>
                <w:b/>
                <w:bCs/>
                <w:color w:val="000000" w:themeColor="text1"/>
              </w:rPr>
              <w:t xml:space="preserve"> </w:t>
            </w:r>
            <w:r w:rsidRPr="005701FE">
              <w:rPr>
                <w:rFonts w:ascii="Times New Roman" w:hAnsi="Times New Roman" w:cs="Times New Roman"/>
                <w:b/>
                <w:bCs/>
                <w:color w:val="000000" w:themeColor="text1"/>
              </w:rPr>
              <w:t>different gender</w:t>
            </w:r>
            <w:r w:rsidR="005701FE">
              <w:rPr>
                <w:rFonts w:ascii="Times New Roman" w:hAnsi="Times New Roman" w:cs="Times New Roman"/>
                <w:b/>
                <w:bCs/>
                <w:color w:val="000000" w:themeColor="text1"/>
              </w:rPr>
              <w:t xml:space="preserve"> </w:t>
            </w:r>
            <w:r w:rsidRPr="005701FE">
              <w:rPr>
                <w:rFonts w:ascii="Times New Roman" w:hAnsi="Times New Roman" w:cs="Times New Roman"/>
                <w:b/>
                <w:bCs/>
                <w:color w:val="000000" w:themeColor="text1"/>
              </w:rPr>
              <w:t>continuation</w:t>
            </w:r>
          </w:p>
        </w:tc>
        <w:tc>
          <w:tcPr>
            <w:tcW w:w="2160" w:type="dxa"/>
            <w:hideMark/>
          </w:tcPr>
          <w:p w14:paraId="1C198B51" w14:textId="3CD9E1D9" w:rsidR="005701FE" w:rsidRPr="00DA72DD" w:rsidRDefault="005701FE" w:rsidP="00601809">
            <w:pPr>
              <w:keepNext/>
              <w:keepLines/>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0.017</w:t>
            </w:r>
            <w:r w:rsidR="00DA72DD">
              <w:rPr>
                <w:rFonts w:ascii="Times New Roman" w:hAnsi="Times New Roman" w:cs="Times New Roman"/>
                <w:color w:val="000000"/>
                <w:lang w:val="it-IT" w:eastAsia="it-IT" w:bidi="bn-BD"/>
              </w:rPr>
              <w:t xml:space="preserve"> </w:t>
            </w:r>
            <w:r w:rsidRPr="005701FE">
              <w:rPr>
                <w:rFonts w:ascii="Times New Roman" w:hAnsi="Times New Roman" w:cs="Times New Roman"/>
                <w:color w:val="000000"/>
                <w:lang w:val="it-IT" w:eastAsia="it-IT" w:bidi="bn-BD"/>
              </w:rPr>
              <w:t>(</w:t>
            </w:r>
            <w:r w:rsidRPr="00811AA8">
              <w:rPr>
                <w:rFonts w:ascii="Times New Roman" w:hAnsi="Times New Roman" w:cs="Times New Roman"/>
                <w:color w:val="000000"/>
                <w:lang w:val="it-IT" w:eastAsia="it-IT" w:bidi="bn-BD"/>
              </w:rPr>
              <w:t>0.07</w:t>
            </w:r>
            <w:r w:rsidRPr="005701FE">
              <w:rPr>
                <w:rFonts w:ascii="Times New Roman" w:hAnsi="Times New Roman" w:cs="Times New Roman"/>
                <w:color w:val="000000"/>
                <w:lang w:val="it-IT" w:eastAsia="it-IT" w:bidi="bn-BD"/>
              </w:rPr>
              <w:t>)</w:t>
            </w:r>
          </w:p>
        </w:tc>
        <w:tc>
          <w:tcPr>
            <w:tcW w:w="2160" w:type="dxa"/>
            <w:hideMark/>
          </w:tcPr>
          <w:p w14:paraId="69513ED2" w14:textId="79B68F2C" w:rsidR="00CA3F52" w:rsidRPr="005701FE" w:rsidRDefault="005701FE" w:rsidP="00601809">
            <w:pPr>
              <w:keepNext/>
              <w:keepLines/>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0.23</w:t>
            </w:r>
          </w:p>
        </w:tc>
        <w:tc>
          <w:tcPr>
            <w:tcW w:w="2160" w:type="dxa"/>
            <w:hideMark/>
          </w:tcPr>
          <w:p w14:paraId="6CE3E098" w14:textId="4A20A7D9" w:rsidR="00CA3F52" w:rsidRPr="005701FE" w:rsidRDefault="00DA72DD" w:rsidP="00601809">
            <w:pPr>
              <w:keepNext/>
              <w:keepLines/>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0.82</w:t>
            </w:r>
          </w:p>
        </w:tc>
      </w:tr>
      <w:tr w:rsidR="00CA3F52" w:rsidRPr="004E184C" w14:paraId="4EA6FB65" w14:textId="77777777" w:rsidTr="00DA72DD">
        <w:trPr>
          <w:trHeight w:val="317"/>
        </w:trPr>
        <w:tc>
          <w:tcPr>
            <w:tcW w:w="2520" w:type="dxa"/>
            <w:hideMark/>
          </w:tcPr>
          <w:p w14:paraId="1DFD5982" w14:textId="3283DEC0" w:rsidR="00CA3F52" w:rsidRPr="005701FE" w:rsidRDefault="00CA3F52" w:rsidP="00601809">
            <w:pPr>
              <w:keepNext/>
              <w:keepLines/>
              <w:spacing w:line="240" w:lineRule="auto"/>
              <w:rPr>
                <w:rFonts w:ascii="Times New Roman" w:hAnsi="Times New Roman" w:cs="Times New Roman"/>
                <w:b/>
                <w:bCs/>
                <w:color w:val="000000" w:themeColor="text1"/>
              </w:rPr>
            </w:pPr>
            <w:r w:rsidRPr="005701FE">
              <w:rPr>
                <w:rFonts w:ascii="Times New Roman" w:hAnsi="Times New Roman" w:cs="Times New Roman"/>
                <w:b/>
                <w:bCs/>
                <w:color w:val="000000" w:themeColor="text1"/>
              </w:rPr>
              <w:t>subject*goal*different gender continuation</w:t>
            </w:r>
          </w:p>
        </w:tc>
        <w:tc>
          <w:tcPr>
            <w:tcW w:w="2160" w:type="dxa"/>
            <w:hideMark/>
          </w:tcPr>
          <w:p w14:paraId="2D278A14" w14:textId="0DBA08B8" w:rsidR="005701FE" w:rsidRPr="00DA72DD" w:rsidRDefault="005701FE" w:rsidP="00601809">
            <w:pPr>
              <w:keepNext/>
              <w:keepLines/>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-0.08</w:t>
            </w:r>
            <w:r w:rsidR="00DA72DD">
              <w:rPr>
                <w:rFonts w:ascii="Times New Roman" w:hAnsi="Times New Roman" w:cs="Times New Roman"/>
                <w:color w:val="000000"/>
                <w:lang w:val="it-IT" w:eastAsia="it-IT" w:bidi="bn-BD"/>
              </w:rPr>
              <w:t xml:space="preserve"> </w:t>
            </w:r>
            <w:r w:rsidRPr="005701FE">
              <w:rPr>
                <w:rFonts w:ascii="Times New Roman" w:hAnsi="Times New Roman" w:cs="Times New Roman"/>
                <w:color w:val="000000"/>
                <w:lang w:val="it-IT" w:eastAsia="it-IT" w:bidi="bn-BD"/>
              </w:rPr>
              <w:t>(</w:t>
            </w:r>
            <w:r w:rsidRPr="00811AA8">
              <w:rPr>
                <w:rFonts w:ascii="Times New Roman" w:hAnsi="Times New Roman" w:cs="Times New Roman"/>
                <w:color w:val="000000"/>
                <w:lang w:val="it-IT" w:eastAsia="it-IT" w:bidi="bn-BD"/>
              </w:rPr>
              <w:t>0.14</w:t>
            </w:r>
            <w:r w:rsidRPr="005701FE">
              <w:rPr>
                <w:rFonts w:ascii="Times New Roman" w:hAnsi="Times New Roman" w:cs="Times New Roman"/>
                <w:color w:val="000000"/>
                <w:lang w:val="it-IT" w:eastAsia="it-IT" w:bidi="bn-BD"/>
              </w:rPr>
              <w:t>)</w:t>
            </w:r>
          </w:p>
        </w:tc>
        <w:tc>
          <w:tcPr>
            <w:tcW w:w="2160" w:type="dxa"/>
            <w:hideMark/>
          </w:tcPr>
          <w:p w14:paraId="60E8EC7E" w14:textId="25280019" w:rsidR="00CA3F52" w:rsidRPr="005701FE" w:rsidRDefault="005701FE" w:rsidP="00601809">
            <w:pPr>
              <w:keepNext/>
              <w:keepLines/>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-0.54</w:t>
            </w:r>
          </w:p>
        </w:tc>
        <w:tc>
          <w:tcPr>
            <w:tcW w:w="2160" w:type="dxa"/>
            <w:hideMark/>
          </w:tcPr>
          <w:p w14:paraId="62C585B2" w14:textId="37F4704B" w:rsidR="00CA3F52" w:rsidRPr="005701FE" w:rsidRDefault="00DA72DD" w:rsidP="00601809">
            <w:pPr>
              <w:keepNext/>
              <w:keepLines/>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0.59</w:t>
            </w:r>
          </w:p>
        </w:tc>
      </w:tr>
      <w:tr w:rsidR="00CA3F52" w:rsidRPr="004E184C" w14:paraId="4B781DCA" w14:textId="77777777" w:rsidTr="00DA72DD">
        <w:trPr>
          <w:trHeight w:val="317"/>
        </w:trPr>
        <w:tc>
          <w:tcPr>
            <w:tcW w:w="2520" w:type="dxa"/>
            <w:hideMark/>
          </w:tcPr>
          <w:p w14:paraId="77072396" w14:textId="5AAAE354" w:rsidR="00CA3F52" w:rsidRPr="005701FE" w:rsidRDefault="00CA3F52" w:rsidP="00601809">
            <w:pPr>
              <w:keepNext/>
              <w:keepLines/>
              <w:spacing w:line="240" w:lineRule="auto"/>
              <w:rPr>
                <w:rFonts w:ascii="Times New Roman" w:hAnsi="Times New Roman" w:cs="Times New Roman"/>
                <w:b/>
                <w:bCs/>
                <w:color w:val="000000" w:themeColor="text1"/>
              </w:rPr>
            </w:pPr>
            <w:r w:rsidRPr="005701FE">
              <w:rPr>
                <w:rFonts w:ascii="Times New Roman" w:hAnsi="Times New Roman" w:cs="Times New Roman"/>
                <w:b/>
                <w:bCs/>
                <w:color w:val="000000" w:themeColor="text1"/>
              </w:rPr>
              <w:t>detective latency</w:t>
            </w:r>
          </w:p>
        </w:tc>
        <w:tc>
          <w:tcPr>
            <w:tcW w:w="2160" w:type="dxa"/>
            <w:hideMark/>
          </w:tcPr>
          <w:p w14:paraId="0CBE8189" w14:textId="77777777" w:rsidR="00DA72DD" w:rsidRDefault="005701FE" w:rsidP="00601809">
            <w:pPr>
              <w:keepNext/>
              <w:keepLines/>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0.000012</w:t>
            </w:r>
          </w:p>
          <w:p w14:paraId="26D21FC4" w14:textId="037C151A" w:rsidR="005701FE" w:rsidRPr="00DA72DD" w:rsidRDefault="005701FE" w:rsidP="00601809">
            <w:pPr>
              <w:keepNext/>
              <w:keepLines/>
              <w:spacing w:line="240" w:lineRule="auto"/>
              <w:jc w:val="right"/>
              <w:rPr>
                <w:rFonts w:ascii="Times New Roman" w:hAnsi="Times New Roman" w:cs="Times New Roman"/>
                <w:color w:val="000000"/>
                <w:lang w:val="it-IT" w:eastAsia="it-IT" w:bidi="bn-BD"/>
              </w:rPr>
            </w:pPr>
            <w:r w:rsidRPr="005701FE">
              <w:rPr>
                <w:rFonts w:ascii="Times New Roman" w:hAnsi="Times New Roman" w:cs="Times New Roman"/>
                <w:color w:val="000000"/>
                <w:lang w:val="it-IT" w:eastAsia="it-IT" w:bidi="bn-BD"/>
              </w:rPr>
              <w:t>(</w:t>
            </w:r>
            <w:r w:rsidRPr="00811AA8">
              <w:rPr>
                <w:rFonts w:ascii="Times New Roman" w:hAnsi="Times New Roman" w:cs="Times New Roman"/>
                <w:color w:val="000000"/>
                <w:lang w:val="it-IT" w:eastAsia="it-IT" w:bidi="bn-BD"/>
              </w:rPr>
              <w:t>0.000011</w:t>
            </w:r>
            <w:r w:rsidRPr="005701FE">
              <w:rPr>
                <w:rFonts w:ascii="Times New Roman" w:hAnsi="Times New Roman" w:cs="Times New Roman"/>
                <w:color w:val="000000"/>
                <w:lang w:val="it-IT" w:eastAsia="it-IT" w:bidi="bn-BD"/>
              </w:rPr>
              <w:t>)</w:t>
            </w:r>
          </w:p>
        </w:tc>
        <w:tc>
          <w:tcPr>
            <w:tcW w:w="2160" w:type="dxa"/>
            <w:hideMark/>
          </w:tcPr>
          <w:p w14:paraId="6619639D" w14:textId="1EFB01A7" w:rsidR="00CA3F52" w:rsidRPr="005701FE" w:rsidRDefault="005701FE" w:rsidP="00601809">
            <w:pPr>
              <w:keepNext/>
              <w:keepLines/>
              <w:spacing w:line="240" w:lineRule="auto"/>
              <w:jc w:val="right"/>
              <w:rPr>
                <w:rFonts w:ascii="Times New Roman" w:hAnsi="Times New Roman" w:cs="Times New Roman"/>
                <w:color w:val="000000" w:themeColor="text1"/>
              </w:rPr>
            </w:pPr>
            <w:r w:rsidRPr="005701FE">
              <w:rPr>
                <w:rFonts w:ascii="Times New Roman" w:hAnsi="Times New Roman" w:cs="Times New Roman"/>
                <w:color w:val="000000" w:themeColor="text1"/>
              </w:rPr>
              <w:t>1.12</w:t>
            </w:r>
          </w:p>
        </w:tc>
        <w:tc>
          <w:tcPr>
            <w:tcW w:w="2160" w:type="dxa"/>
            <w:hideMark/>
          </w:tcPr>
          <w:p w14:paraId="25F53828" w14:textId="7C9CBFBD" w:rsidR="00CA3F52" w:rsidRPr="005701FE" w:rsidRDefault="00DA72DD" w:rsidP="00601809">
            <w:pPr>
              <w:keepNext/>
              <w:keepLines/>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0.27</w:t>
            </w:r>
          </w:p>
        </w:tc>
      </w:tr>
    </w:tbl>
    <w:p w14:paraId="20FB341A" w14:textId="108D04F8" w:rsidR="008615B4" w:rsidRDefault="008615B4" w:rsidP="00601809">
      <w:pPr>
        <w:keepNext/>
        <w:keepLines/>
        <w:ind w:firstLine="720"/>
      </w:pPr>
      <w:r>
        <w:t xml:space="preserve">* </w:t>
      </w:r>
      <w:r w:rsidR="00502049">
        <w:t>maximal random effects included</w:t>
      </w:r>
    </w:p>
    <w:p w14:paraId="5C8A5BDC" w14:textId="42F2E269" w:rsidR="008615B4" w:rsidRDefault="00FF61B2" w:rsidP="00FF61B2">
      <w:pPr>
        <w:spacing w:line="240" w:lineRule="auto"/>
      </w:pPr>
      <w:r>
        <w:br w:type="page"/>
      </w:r>
    </w:p>
    <w:p w14:paraId="397677E9" w14:textId="1934A890" w:rsidR="004E53FA" w:rsidRPr="004E184C" w:rsidRDefault="008615B4" w:rsidP="00CA096C">
      <w:pPr>
        <w:spacing w:after="200" w:line="276" w:lineRule="auto"/>
      </w:pPr>
      <w:r w:rsidRPr="2EBC3AA5">
        <w:rPr>
          <w:i/>
          <w:iCs/>
        </w:rPr>
        <w:lastRenderedPageBreak/>
        <w:t>Table 1</w:t>
      </w:r>
      <w:r w:rsidR="004D0DF6">
        <w:rPr>
          <w:i/>
          <w:iCs/>
        </w:rPr>
        <w:t>3</w:t>
      </w:r>
      <w:r w:rsidRPr="2EBC3AA5">
        <w:rPr>
          <w:i/>
          <w:iCs/>
        </w:rPr>
        <w:t>.</w:t>
      </w:r>
      <w:r>
        <w:t xml:space="preserve"> </w:t>
      </w:r>
      <w:r w:rsidR="00EB7437">
        <w:t xml:space="preserve">Experiment 2 </w:t>
      </w:r>
      <w:r>
        <w:t xml:space="preserve">Model for name/description responses, </w:t>
      </w:r>
      <w:r w:rsidR="004E53FA">
        <w:t>including latency as a predictor</w:t>
      </w:r>
    </w:p>
    <w:tbl>
      <w:tblPr>
        <w:tblStyle w:val="TableGrid"/>
        <w:tblpPr w:leftFromText="141" w:rightFromText="141" w:vertAnchor="text" w:tblpY="1"/>
        <w:tblW w:w="9000" w:type="dxa"/>
        <w:tblLook w:val="04A0" w:firstRow="1" w:lastRow="0" w:firstColumn="1" w:lastColumn="0" w:noHBand="0" w:noVBand="1"/>
      </w:tblPr>
      <w:tblGrid>
        <w:gridCol w:w="2520"/>
        <w:gridCol w:w="2160"/>
        <w:gridCol w:w="2160"/>
        <w:gridCol w:w="2160"/>
      </w:tblGrid>
      <w:tr w:rsidR="004E53FA" w:rsidRPr="004E184C" w14:paraId="24EFDECC" w14:textId="77777777" w:rsidTr="00DA72DD">
        <w:trPr>
          <w:trHeight w:val="317"/>
        </w:trPr>
        <w:tc>
          <w:tcPr>
            <w:tcW w:w="2520" w:type="dxa"/>
            <w:hideMark/>
          </w:tcPr>
          <w:p w14:paraId="10E309E7" w14:textId="77777777" w:rsidR="004E53FA" w:rsidRPr="004E53FA" w:rsidRDefault="004E53FA" w:rsidP="00601809">
            <w:pPr>
              <w:keepNext/>
              <w:spacing w:line="240" w:lineRule="auto"/>
              <w:rPr>
                <w:rFonts w:ascii="Times New Roman" w:hAnsi="Times New Roman" w:cs="Times New Roman"/>
                <w:b/>
                <w:bCs/>
                <w:lang w:val="it-IT"/>
              </w:rPr>
            </w:pPr>
            <w:r w:rsidRPr="004E53FA">
              <w:rPr>
                <w:rFonts w:ascii="Times New Roman" w:hAnsi="Times New Roman" w:cs="Times New Roman"/>
                <w:b/>
                <w:bCs/>
              </w:rPr>
              <w:t>Effect</w:t>
            </w:r>
          </w:p>
        </w:tc>
        <w:tc>
          <w:tcPr>
            <w:tcW w:w="2160" w:type="dxa"/>
            <w:hideMark/>
          </w:tcPr>
          <w:p w14:paraId="70FF97BD" w14:textId="77777777" w:rsidR="004E53FA" w:rsidRPr="004E53FA" w:rsidRDefault="004E53FA" w:rsidP="00601809">
            <w:pPr>
              <w:keepNext/>
              <w:spacing w:line="240" w:lineRule="auto"/>
              <w:rPr>
                <w:rFonts w:ascii="Times New Roman" w:hAnsi="Times New Roman" w:cs="Times New Roman"/>
                <w:b/>
                <w:bCs/>
              </w:rPr>
            </w:pPr>
            <w:r w:rsidRPr="004E53FA">
              <w:rPr>
                <w:rFonts w:ascii="Times New Roman" w:hAnsi="Times New Roman" w:cs="Times New Roman"/>
                <w:b/>
                <w:bCs/>
              </w:rPr>
              <w:t xml:space="preserve">Estimate </w:t>
            </w:r>
          </w:p>
          <w:p w14:paraId="186D300A" w14:textId="77777777" w:rsidR="004E53FA" w:rsidRPr="004E53FA" w:rsidRDefault="004E53FA" w:rsidP="00601809">
            <w:pPr>
              <w:keepNext/>
              <w:spacing w:line="240" w:lineRule="auto"/>
              <w:rPr>
                <w:rFonts w:ascii="Times New Roman" w:hAnsi="Times New Roman" w:cs="Times New Roman"/>
                <w:b/>
                <w:bCs/>
              </w:rPr>
            </w:pPr>
            <w:r w:rsidRPr="004E53FA">
              <w:rPr>
                <w:rFonts w:ascii="Times New Roman" w:hAnsi="Times New Roman" w:cs="Times New Roman"/>
                <w:b/>
                <w:bCs/>
              </w:rPr>
              <w:t>(Standard Error)</w:t>
            </w:r>
          </w:p>
        </w:tc>
        <w:tc>
          <w:tcPr>
            <w:tcW w:w="2160" w:type="dxa"/>
            <w:hideMark/>
          </w:tcPr>
          <w:p w14:paraId="2FD8A535" w14:textId="77777777" w:rsidR="004E53FA" w:rsidRPr="004E53FA" w:rsidRDefault="004E53FA" w:rsidP="00601809">
            <w:pPr>
              <w:keepNext/>
              <w:spacing w:line="240" w:lineRule="auto"/>
              <w:rPr>
                <w:rFonts w:ascii="Times New Roman" w:hAnsi="Times New Roman" w:cs="Times New Roman"/>
                <w:b/>
                <w:bCs/>
              </w:rPr>
            </w:pPr>
            <w:r w:rsidRPr="004E53FA">
              <w:rPr>
                <w:rFonts w:ascii="Times New Roman" w:hAnsi="Times New Roman" w:cs="Times New Roman"/>
                <w:b/>
                <w:bCs/>
              </w:rPr>
              <w:t>t Value</w:t>
            </w:r>
          </w:p>
        </w:tc>
        <w:tc>
          <w:tcPr>
            <w:tcW w:w="2160" w:type="dxa"/>
            <w:hideMark/>
          </w:tcPr>
          <w:p w14:paraId="2546B739" w14:textId="77777777" w:rsidR="004E53FA" w:rsidRPr="004E53FA" w:rsidRDefault="004E53FA" w:rsidP="00601809">
            <w:pPr>
              <w:keepNext/>
              <w:spacing w:line="240" w:lineRule="auto"/>
              <w:rPr>
                <w:rFonts w:ascii="Times New Roman" w:hAnsi="Times New Roman" w:cs="Times New Roman"/>
                <w:b/>
                <w:bCs/>
              </w:rPr>
            </w:pPr>
            <w:r w:rsidRPr="004E53FA">
              <w:rPr>
                <w:rFonts w:ascii="Times New Roman" w:hAnsi="Times New Roman" w:cs="Times New Roman"/>
                <w:b/>
                <w:bCs/>
              </w:rPr>
              <w:t>Pr &gt; |t|</w:t>
            </w:r>
          </w:p>
        </w:tc>
      </w:tr>
      <w:tr w:rsidR="004E53FA" w:rsidRPr="004E184C" w14:paraId="458F817E" w14:textId="77777777" w:rsidTr="00DA72DD">
        <w:trPr>
          <w:trHeight w:val="317"/>
        </w:trPr>
        <w:tc>
          <w:tcPr>
            <w:tcW w:w="2520" w:type="dxa"/>
            <w:hideMark/>
          </w:tcPr>
          <w:p w14:paraId="214310D4" w14:textId="77777777" w:rsidR="004E53FA" w:rsidRPr="004E53FA" w:rsidRDefault="004E53FA" w:rsidP="00601809">
            <w:pPr>
              <w:keepNext/>
              <w:spacing w:line="240" w:lineRule="auto"/>
              <w:rPr>
                <w:rFonts w:ascii="Times New Roman" w:hAnsi="Times New Roman" w:cs="Times New Roman"/>
                <w:b/>
                <w:bCs/>
                <w:color w:val="000000" w:themeColor="text1"/>
              </w:rPr>
            </w:pPr>
            <w:r w:rsidRPr="004E53FA">
              <w:rPr>
                <w:rFonts w:ascii="Times New Roman" w:hAnsi="Times New Roman" w:cs="Times New Roman"/>
                <w:b/>
                <w:bCs/>
                <w:color w:val="000000" w:themeColor="text1"/>
              </w:rPr>
              <w:t>subject continuation</w:t>
            </w:r>
          </w:p>
        </w:tc>
        <w:tc>
          <w:tcPr>
            <w:tcW w:w="2160" w:type="dxa"/>
            <w:hideMark/>
          </w:tcPr>
          <w:p w14:paraId="038FE3FA" w14:textId="2C31210B" w:rsidR="004E53FA" w:rsidRPr="004E53FA" w:rsidRDefault="004E53FA"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-3.1</w:t>
            </w:r>
            <w:r w:rsidR="00445697">
              <w:rPr>
                <w:rFonts w:ascii="Times New Roman" w:hAnsi="Times New Roman" w:cs="Times New Roman"/>
                <w:color w:val="000000"/>
                <w:lang w:val="it-IT" w:eastAsia="it-IT" w:bidi="bn-BD"/>
              </w:rPr>
              <w:t>8</w:t>
            </w:r>
            <w:r w:rsidR="00DA72DD">
              <w:rPr>
                <w:rFonts w:ascii="Times New Roman" w:hAnsi="Times New Roman" w:cs="Times New Roman"/>
                <w:color w:val="000000"/>
                <w:lang w:val="it-IT" w:eastAsia="it-IT" w:bidi="bn-BD"/>
              </w:rPr>
              <w:t xml:space="preserve">  </w:t>
            </w:r>
            <w:r w:rsidRPr="004E53FA">
              <w:rPr>
                <w:rFonts w:ascii="Times New Roman" w:hAnsi="Times New Roman" w:cs="Times New Roman"/>
                <w:color w:val="000000"/>
                <w:lang w:val="it-IT" w:eastAsia="it-IT" w:bidi="bn-BD"/>
              </w:rPr>
              <w:t>(</w:t>
            </w:r>
            <w:r w:rsidRPr="00811AA8">
              <w:rPr>
                <w:rFonts w:ascii="Times New Roman" w:hAnsi="Times New Roman" w:cs="Times New Roman"/>
                <w:color w:val="000000"/>
                <w:lang w:val="it-IT" w:eastAsia="it-IT" w:bidi="bn-BD"/>
              </w:rPr>
              <w:t>0.3</w:t>
            </w:r>
            <w:r w:rsidR="00445697">
              <w:rPr>
                <w:rFonts w:ascii="Times New Roman" w:hAnsi="Times New Roman" w:cs="Times New Roman"/>
                <w:color w:val="000000"/>
                <w:lang w:val="it-IT" w:eastAsia="it-IT" w:bidi="bn-BD"/>
              </w:rPr>
              <w:t>8</w:t>
            </w:r>
            <w:r w:rsidRPr="004E53FA">
              <w:rPr>
                <w:rFonts w:ascii="Times New Roman" w:hAnsi="Times New Roman" w:cs="Times New Roman"/>
                <w:color w:val="000000"/>
                <w:lang w:val="it-IT" w:eastAsia="it-IT" w:bidi="bn-BD"/>
              </w:rPr>
              <w:t>)</w:t>
            </w:r>
          </w:p>
          <w:p w14:paraId="60C21C8C" w14:textId="65602515" w:rsidR="004E53FA" w:rsidRPr="004E53FA" w:rsidRDefault="004E53FA" w:rsidP="00601809">
            <w:pPr>
              <w:keepNext/>
              <w:spacing w:line="240" w:lineRule="auto"/>
              <w:jc w:val="right"/>
              <w:rPr>
                <w:rFonts w:ascii="Times New Roman" w:hAnsi="Times New Roman" w:cs="Times New Roman"/>
                <w:color w:val="000000" w:themeColor="text1"/>
              </w:rPr>
            </w:pPr>
          </w:p>
        </w:tc>
        <w:tc>
          <w:tcPr>
            <w:tcW w:w="2160" w:type="dxa"/>
            <w:hideMark/>
          </w:tcPr>
          <w:p w14:paraId="11CE1B60" w14:textId="36A4F619" w:rsidR="004E53FA" w:rsidRPr="004E53FA" w:rsidRDefault="004E53FA"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-8.45</w:t>
            </w:r>
          </w:p>
        </w:tc>
        <w:tc>
          <w:tcPr>
            <w:tcW w:w="2160" w:type="dxa"/>
            <w:hideMark/>
          </w:tcPr>
          <w:p w14:paraId="2AFCF6A9" w14:textId="5ABDAEE3" w:rsidR="004E53FA" w:rsidRPr="004E53FA" w:rsidRDefault="004E53FA"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&lt;.0001</w:t>
            </w:r>
          </w:p>
        </w:tc>
      </w:tr>
      <w:tr w:rsidR="004E53FA" w:rsidRPr="004E184C" w14:paraId="1A27A0F6" w14:textId="77777777" w:rsidTr="00DA72DD">
        <w:trPr>
          <w:trHeight w:val="317"/>
        </w:trPr>
        <w:tc>
          <w:tcPr>
            <w:tcW w:w="2520" w:type="dxa"/>
            <w:hideMark/>
          </w:tcPr>
          <w:p w14:paraId="2D679F48" w14:textId="77777777" w:rsidR="004E53FA" w:rsidRPr="004E53FA" w:rsidRDefault="004E53FA" w:rsidP="00601809">
            <w:pPr>
              <w:keepNext/>
              <w:rPr>
                <w:rFonts w:ascii="Times New Roman" w:hAnsi="Times New Roman" w:cs="Times New Roman"/>
                <w:b/>
                <w:bCs/>
                <w:color w:val="000000" w:themeColor="text1"/>
              </w:rPr>
            </w:pPr>
            <w:r w:rsidRPr="004E53FA">
              <w:rPr>
                <w:rFonts w:ascii="Times New Roman" w:hAnsi="Times New Roman" w:cs="Times New Roman"/>
                <w:b/>
                <w:bCs/>
                <w:color w:val="000000" w:themeColor="text1"/>
              </w:rPr>
              <w:t>goal continuation</w:t>
            </w:r>
          </w:p>
        </w:tc>
        <w:tc>
          <w:tcPr>
            <w:tcW w:w="2160" w:type="dxa"/>
            <w:hideMark/>
          </w:tcPr>
          <w:p w14:paraId="3C75196A" w14:textId="2BEA9E8C" w:rsidR="004E53FA" w:rsidRPr="004E53FA" w:rsidRDefault="00DA72DD" w:rsidP="00601809">
            <w:pPr>
              <w:keepNext/>
              <w:jc w:val="right"/>
              <w:rPr>
                <w:rFonts w:ascii="Times New Roman" w:hAnsi="Times New Roman" w:cs="Times New Roman"/>
                <w:color w:val="000000" w:themeColor="text1"/>
              </w:rPr>
            </w:pPr>
            <w:r>
              <w:rPr>
                <w:rFonts w:ascii="Times New Roman" w:hAnsi="Times New Roman" w:cs="Times New Roman"/>
                <w:color w:val="000000"/>
                <w:lang w:val="it-IT" w:eastAsia="it-IT" w:bidi="bn-BD"/>
              </w:rPr>
              <w:t xml:space="preserve">     </w:t>
            </w:r>
            <w:r w:rsidR="004E53FA" w:rsidRPr="00811AA8">
              <w:rPr>
                <w:rFonts w:ascii="Times New Roman" w:hAnsi="Times New Roman" w:cs="Times New Roman"/>
                <w:color w:val="000000"/>
                <w:lang w:val="it-IT" w:eastAsia="it-IT" w:bidi="bn-BD"/>
              </w:rPr>
              <w:t>-1.18</w:t>
            </w:r>
            <w:r>
              <w:rPr>
                <w:rFonts w:ascii="Times New Roman" w:hAnsi="Times New Roman" w:cs="Times New Roman"/>
                <w:color w:val="000000"/>
                <w:lang w:val="it-IT" w:eastAsia="it-IT" w:bidi="bn-BD"/>
              </w:rPr>
              <w:t xml:space="preserve"> (0.47) </w:t>
            </w:r>
          </w:p>
        </w:tc>
        <w:tc>
          <w:tcPr>
            <w:tcW w:w="2160" w:type="dxa"/>
            <w:hideMark/>
          </w:tcPr>
          <w:p w14:paraId="735CC0DC" w14:textId="4CC0FBA7" w:rsidR="004E53FA" w:rsidRPr="004E53FA" w:rsidRDefault="004E53FA" w:rsidP="00601809">
            <w:pPr>
              <w:keepNext/>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-2.51</w:t>
            </w:r>
          </w:p>
        </w:tc>
        <w:tc>
          <w:tcPr>
            <w:tcW w:w="2160" w:type="dxa"/>
            <w:hideMark/>
          </w:tcPr>
          <w:p w14:paraId="485FB175" w14:textId="5D3443B2" w:rsidR="004E53FA" w:rsidRPr="004E53FA" w:rsidRDefault="00DA72DD" w:rsidP="00601809">
            <w:pPr>
              <w:keepNext/>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0.02</w:t>
            </w:r>
          </w:p>
        </w:tc>
      </w:tr>
      <w:tr w:rsidR="004E53FA" w:rsidRPr="004E184C" w14:paraId="5581DB51" w14:textId="77777777" w:rsidTr="00DA72DD">
        <w:trPr>
          <w:trHeight w:val="317"/>
        </w:trPr>
        <w:tc>
          <w:tcPr>
            <w:tcW w:w="2520" w:type="dxa"/>
            <w:hideMark/>
          </w:tcPr>
          <w:p w14:paraId="7D56AD78" w14:textId="317D1E04" w:rsidR="004E53FA" w:rsidRPr="004E53FA" w:rsidRDefault="00081ADB" w:rsidP="00601809">
            <w:pPr>
              <w:keepNext/>
              <w:spacing w:line="240" w:lineRule="auto"/>
              <w:rPr>
                <w:rFonts w:ascii="Times New Roman" w:hAnsi="Times New Roman" w:cs="Times New Roman"/>
                <w:b/>
                <w:bCs/>
                <w:color w:val="000000" w:themeColor="text1"/>
              </w:rPr>
            </w:pPr>
            <w:r w:rsidRPr="004E53FA">
              <w:rPr>
                <w:rFonts w:ascii="Times New Roman" w:hAnsi="Times New Roman" w:cs="Times New Roman"/>
                <w:b/>
                <w:bCs/>
                <w:color w:val="000000" w:themeColor="text1"/>
              </w:rPr>
              <w:t>L</w:t>
            </w:r>
            <w:r w:rsidR="004E53FA" w:rsidRPr="004E53FA">
              <w:rPr>
                <w:rFonts w:ascii="Times New Roman" w:hAnsi="Times New Roman" w:cs="Times New Roman"/>
                <w:b/>
                <w:bCs/>
                <w:color w:val="000000" w:themeColor="text1"/>
              </w:rPr>
              <w:t>atency</w:t>
            </w:r>
          </w:p>
        </w:tc>
        <w:tc>
          <w:tcPr>
            <w:tcW w:w="2160" w:type="dxa"/>
            <w:hideMark/>
          </w:tcPr>
          <w:p w14:paraId="50A83691" w14:textId="16496B46" w:rsidR="004E53FA" w:rsidRPr="00DA72DD" w:rsidRDefault="004E53FA"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0.0001</w:t>
            </w:r>
            <w:r w:rsidR="00DA72DD">
              <w:rPr>
                <w:rFonts w:ascii="Times New Roman" w:hAnsi="Times New Roman" w:cs="Times New Roman"/>
                <w:color w:val="000000"/>
                <w:lang w:val="it-IT" w:eastAsia="it-IT" w:bidi="bn-BD"/>
              </w:rPr>
              <w:t xml:space="preserve"> </w:t>
            </w:r>
            <w:r w:rsidRPr="004E53FA">
              <w:rPr>
                <w:rFonts w:ascii="Times New Roman" w:hAnsi="Times New Roman" w:cs="Times New Roman"/>
                <w:color w:val="000000"/>
                <w:lang w:val="it-IT" w:eastAsia="it-IT" w:bidi="bn-BD"/>
              </w:rPr>
              <w:t>(</w:t>
            </w:r>
            <w:r w:rsidRPr="00811AA8">
              <w:rPr>
                <w:rFonts w:ascii="Times New Roman" w:hAnsi="Times New Roman" w:cs="Times New Roman"/>
                <w:color w:val="000000"/>
                <w:lang w:val="it-IT" w:eastAsia="it-IT" w:bidi="bn-BD"/>
              </w:rPr>
              <w:t>0.0001</w:t>
            </w:r>
            <w:r w:rsidRPr="004E53FA">
              <w:rPr>
                <w:rFonts w:ascii="Times New Roman" w:hAnsi="Times New Roman" w:cs="Times New Roman"/>
                <w:color w:val="000000"/>
                <w:lang w:val="it-IT" w:eastAsia="it-IT" w:bidi="bn-BD"/>
              </w:rPr>
              <w:t>)</w:t>
            </w:r>
          </w:p>
        </w:tc>
        <w:tc>
          <w:tcPr>
            <w:tcW w:w="2160" w:type="dxa"/>
            <w:hideMark/>
          </w:tcPr>
          <w:p w14:paraId="604230D3" w14:textId="25DF6E66" w:rsidR="004E53FA" w:rsidRPr="004E53FA" w:rsidRDefault="004E53FA"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0.77</w:t>
            </w:r>
          </w:p>
        </w:tc>
        <w:tc>
          <w:tcPr>
            <w:tcW w:w="2160" w:type="dxa"/>
            <w:hideMark/>
          </w:tcPr>
          <w:p w14:paraId="6657E890" w14:textId="16F66E81" w:rsidR="004E53FA" w:rsidRPr="004E53FA" w:rsidRDefault="00DA72DD"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0.44</w:t>
            </w:r>
          </w:p>
        </w:tc>
      </w:tr>
      <w:tr w:rsidR="004E53FA" w:rsidRPr="004E184C" w14:paraId="2C4CE8B5" w14:textId="77777777" w:rsidTr="00DA72DD">
        <w:trPr>
          <w:trHeight w:val="317"/>
        </w:trPr>
        <w:tc>
          <w:tcPr>
            <w:tcW w:w="2520" w:type="dxa"/>
            <w:hideMark/>
          </w:tcPr>
          <w:p w14:paraId="71C787B1" w14:textId="3382BAC0" w:rsidR="004E53FA" w:rsidRPr="004E53FA" w:rsidRDefault="00425F35" w:rsidP="00601809">
            <w:pPr>
              <w:keepNext/>
              <w:spacing w:line="240" w:lineRule="auto"/>
              <w:rPr>
                <w:rFonts w:ascii="Times New Roman" w:hAnsi="Times New Roman" w:cs="Times New Roman"/>
                <w:b/>
                <w:bCs/>
                <w:color w:val="000000" w:themeColor="text1"/>
              </w:rPr>
            </w:pPr>
            <w:r w:rsidRPr="00D62F8E">
              <w:rPr>
                <w:rFonts w:ascii="Times New Roman" w:hAnsi="Times New Roman" w:cs="Times New Roman"/>
                <w:b/>
                <w:bCs/>
                <w:color w:val="000000" w:themeColor="text1"/>
              </w:rPr>
              <w:t xml:space="preserve">detective </w:t>
            </w:r>
            <w:r>
              <w:rPr>
                <w:rFonts w:ascii="Times New Roman" w:hAnsi="Times New Roman" w:cs="Times New Roman"/>
                <w:b/>
                <w:bCs/>
                <w:color w:val="000000" w:themeColor="text1"/>
              </w:rPr>
              <w:t>sentence duration</w:t>
            </w:r>
          </w:p>
        </w:tc>
        <w:tc>
          <w:tcPr>
            <w:tcW w:w="2160" w:type="dxa"/>
            <w:hideMark/>
          </w:tcPr>
          <w:p w14:paraId="2D65716E" w14:textId="3062B890" w:rsidR="004E53FA" w:rsidRDefault="004E53FA" w:rsidP="00601809">
            <w:pPr>
              <w:keepNext/>
              <w:spacing w:line="240" w:lineRule="auto"/>
              <w:jc w:val="right"/>
              <w:rPr>
                <w:rFonts w:ascii="Times New Roman" w:hAnsi="Times New Roman" w:cs="Times New Roman"/>
                <w:color w:val="000000"/>
                <w:lang w:val="it-IT" w:eastAsia="it-IT" w:bidi="bn-BD"/>
              </w:rPr>
            </w:pPr>
            <w:r w:rsidRPr="00811AA8">
              <w:rPr>
                <w:rFonts w:ascii="Times New Roman" w:hAnsi="Times New Roman" w:cs="Times New Roman"/>
                <w:color w:val="000000"/>
                <w:lang w:val="it-IT" w:eastAsia="it-IT" w:bidi="bn-BD"/>
              </w:rPr>
              <w:t>0.0001</w:t>
            </w:r>
            <w:r w:rsidR="00DA72DD">
              <w:rPr>
                <w:rFonts w:ascii="Times New Roman" w:hAnsi="Times New Roman" w:cs="Times New Roman"/>
                <w:color w:val="000000"/>
                <w:lang w:val="it-IT" w:eastAsia="it-IT" w:bidi="bn-BD"/>
              </w:rPr>
              <w:t xml:space="preserve"> </w:t>
            </w:r>
            <w:r w:rsidRPr="004E53FA">
              <w:rPr>
                <w:rFonts w:ascii="Times New Roman" w:hAnsi="Times New Roman" w:cs="Times New Roman"/>
                <w:color w:val="000000"/>
                <w:lang w:val="it-IT" w:eastAsia="it-IT" w:bidi="bn-BD"/>
              </w:rPr>
              <w:t>(</w:t>
            </w:r>
            <w:r w:rsidRPr="00811AA8">
              <w:rPr>
                <w:rFonts w:ascii="Times New Roman" w:hAnsi="Times New Roman" w:cs="Times New Roman"/>
                <w:color w:val="000000"/>
                <w:lang w:val="it-IT" w:eastAsia="it-IT" w:bidi="bn-BD"/>
              </w:rPr>
              <w:t>0.000</w:t>
            </w:r>
            <w:r w:rsidR="00445697">
              <w:rPr>
                <w:rFonts w:ascii="Times New Roman" w:hAnsi="Times New Roman" w:cs="Times New Roman"/>
                <w:color w:val="000000"/>
                <w:lang w:val="it-IT" w:eastAsia="it-IT" w:bidi="bn-BD"/>
              </w:rPr>
              <w:t>1</w:t>
            </w:r>
            <w:r w:rsidRPr="004E53FA">
              <w:rPr>
                <w:rFonts w:ascii="Times New Roman" w:hAnsi="Times New Roman" w:cs="Times New Roman"/>
                <w:color w:val="000000"/>
                <w:lang w:val="it-IT" w:eastAsia="it-IT" w:bidi="bn-BD"/>
              </w:rPr>
              <w:t>)</w:t>
            </w:r>
          </w:p>
          <w:p w14:paraId="7787DC6D" w14:textId="327A5541" w:rsidR="004E53FA" w:rsidRPr="004E53FA" w:rsidRDefault="004E53FA" w:rsidP="00601809">
            <w:pPr>
              <w:keepNext/>
              <w:spacing w:line="240" w:lineRule="auto"/>
              <w:jc w:val="right"/>
              <w:rPr>
                <w:rFonts w:ascii="Times New Roman" w:hAnsi="Times New Roman" w:cs="Times New Roman"/>
                <w:color w:val="000000" w:themeColor="text1"/>
              </w:rPr>
            </w:pPr>
          </w:p>
        </w:tc>
        <w:tc>
          <w:tcPr>
            <w:tcW w:w="2160" w:type="dxa"/>
            <w:hideMark/>
          </w:tcPr>
          <w:p w14:paraId="32204699" w14:textId="4D5A7D2A" w:rsidR="004E53FA" w:rsidRPr="004E53FA" w:rsidRDefault="004E53FA" w:rsidP="00601809">
            <w:pPr>
              <w:keepNext/>
              <w:spacing w:line="240" w:lineRule="auto"/>
              <w:jc w:val="right"/>
              <w:rPr>
                <w:rFonts w:ascii="Times New Roman" w:hAnsi="Times New Roman" w:cs="Times New Roman"/>
                <w:color w:val="000000" w:themeColor="text1"/>
              </w:rPr>
            </w:pPr>
            <w:r w:rsidRPr="00811AA8">
              <w:rPr>
                <w:rFonts w:ascii="Times New Roman" w:hAnsi="Times New Roman" w:cs="Times New Roman"/>
                <w:color w:val="000000"/>
                <w:lang w:val="it-IT" w:eastAsia="it-IT" w:bidi="bn-BD"/>
              </w:rPr>
              <w:t>1.18</w:t>
            </w:r>
          </w:p>
        </w:tc>
        <w:tc>
          <w:tcPr>
            <w:tcW w:w="2160" w:type="dxa"/>
            <w:hideMark/>
          </w:tcPr>
          <w:p w14:paraId="1B411EF2" w14:textId="439FE007" w:rsidR="004E53FA" w:rsidRPr="004E53FA" w:rsidRDefault="00DA72DD" w:rsidP="00601809">
            <w:pPr>
              <w:keepNext/>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0.24</w:t>
            </w:r>
          </w:p>
        </w:tc>
      </w:tr>
    </w:tbl>
    <w:p w14:paraId="4A3265F9" w14:textId="77777777" w:rsidR="008615B4" w:rsidRDefault="008615B4" w:rsidP="00DA72DD">
      <w:pPr>
        <w:ind w:firstLine="720"/>
      </w:pPr>
      <w:r>
        <w:t>* Subject continuation was a random slope by both participants and items; all other slopes estimated to be zero by the model</w:t>
      </w:r>
    </w:p>
    <w:p w14:paraId="620A4BD9" w14:textId="77777777" w:rsidR="00DA72DD" w:rsidRDefault="00DA72DD" w:rsidP="00DA72DD"/>
    <w:p w14:paraId="3DCB28E3" w14:textId="77777777" w:rsidR="00512F3E" w:rsidRDefault="00512F3E">
      <w:pPr>
        <w:spacing w:line="240" w:lineRule="auto"/>
        <w:rPr>
          <w:i/>
          <w:iCs/>
        </w:rPr>
      </w:pPr>
      <w:r>
        <w:rPr>
          <w:i/>
          <w:iCs/>
        </w:rPr>
        <w:br w:type="page"/>
      </w:r>
    </w:p>
    <w:p w14:paraId="0A7EE5A4" w14:textId="430E2C15" w:rsidR="008615B4" w:rsidRDefault="008615B4" w:rsidP="00512F3E">
      <w:pPr>
        <w:keepNext/>
      </w:pPr>
      <w:r w:rsidRPr="2EBC3AA5">
        <w:rPr>
          <w:i/>
          <w:iCs/>
        </w:rPr>
        <w:lastRenderedPageBreak/>
        <w:t>Table 1</w:t>
      </w:r>
      <w:r w:rsidR="004D0DF6">
        <w:rPr>
          <w:i/>
          <w:iCs/>
        </w:rPr>
        <w:t>4</w:t>
      </w:r>
      <w:r w:rsidRPr="2EBC3AA5">
        <w:rPr>
          <w:i/>
          <w:iCs/>
        </w:rPr>
        <w:t>.</w:t>
      </w:r>
      <w:r>
        <w:t xml:space="preserve"> </w:t>
      </w:r>
      <w:r w:rsidR="00EB7437">
        <w:t xml:space="preserve">Experiment 2 </w:t>
      </w:r>
      <w:r>
        <w:t xml:space="preserve">Model for null pronoun responses, including latency as a predictor </w:t>
      </w:r>
    </w:p>
    <w:tbl>
      <w:tblPr>
        <w:tblStyle w:val="TableGrid"/>
        <w:tblpPr w:leftFromText="141" w:rightFromText="141" w:vertAnchor="text" w:tblpY="1"/>
        <w:tblW w:w="9000" w:type="dxa"/>
        <w:tblLook w:val="04A0" w:firstRow="1" w:lastRow="0" w:firstColumn="1" w:lastColumn="0" w:noHBand="0" w:noVBand="1"/>
      </w:tblPr>
      <w:tblGrid>
        <w:gridCol w:w="2520"/>
        <w:gridCol w:w="2160"/>
        <w:gridCol w:w="2160"/>
        <w:gridCol w:w="2160"/>
      </w:tblGrid>
      <w:tr w:rsidR="004E53FA" w:rsidRPr="004E184C" w14:paraId="77D0ABFE" w14:textId="77777777" w:rsidTr="00DA72DD">
        <w:trPr>
          <w:trHeight w:val="317"/>
        </w:trPr>
        <w:tc>
          <w:tcPr>
            <w:tcW w:w="2520" w:type="dxa"/>
            <w:hideMark/>
          </w:tcPr>
          <w:p w14:paraId="0B768AB8" w14:textId="77777777" w:rsidR="004E53FA" w:rsidRPr="00D62F8E" w:rsidRDefault="004E53FA" w:rsidP="00AD0FF1">
            <w:pPr>
              <w:keepNext/>
              <w:spacing w:line="240" w:lineRule="auto"/>
              <w:rPr>
                <w:rFonts w:ascii="Times New Roman" w:hAnsi="Times New Roman" w:cs="Times New Roman"/>
                <w:b/>
                <w:bCs/>
                <w:lang w:val="it-IT"/>
              </w:rPr>
            </w:pPr>
            <w:r w:rsidRPr="00D62F8E">
              <w:rPr>
                <w:rFonts w:ascii="Times New Roman" w:hAnsi="Times New Roman" w:cs="Times New Roman"/>
                <w:b/>
                <w:bCs/>
              </w:rPr>
              <w:t>Effect</w:t>
            </w:r>
          </w:p>
        </w:tc>
        <w:tc>
          <w:tcPr>
            <w:tcW w:w="2160" w:type="dxa"/>
            <w:hideMark/>
          </w:tcPr>
          <w:p w14:paraId="5DB45F40" w14:textId="77777777" w:rsidR="004E53FA" w:rsidRPr="00D62F8E" w:rsidRDefault="004E53FA" w:rsidP="00AD0FF1">
            <w:pPr>
              <w:keepNext/>
              <w:spacing w:line="240" w:lineRule="auto"/>
              <w:rPr>
                <w:rFonts w:ascii="Times New Roman" w:hAnsi="Times New Roman" w:cs="Times New Roman"/>
                <w:b/>
                <w:bCs/>
              </w:rPr>
            </w:pPr>
            <w:r w:rsidRPr="00D62F8E">
              <w:rPr>
                <w:rFonts w:ascii="Times New Roman" w:hAnsi="Times New Roman" w:cs="Times New Roman"/>
                <w:b/>
                <w:bCs/>
              </w:rPr>
              <w:t xml:space="preserve">Estimate </w:t>
            </w:r>
          </w:p>
          <w:p w14:paraId="6BB7131B" w14:textId="77777777" w:rsidR="004E53FA" w:rsidRPr="00D62F8E" w:rsidRDefault="004E53FA" w:rsidP="00AD0FF1">
            <w:pPr>
              <w:keepNext/>
              <w:spacing w:line="240" w:lineRule="auto"/>
              <w:rPr>
                <w:rFonts w:ascii="Times New Roman" w:hAnsi="Times New Roman" w:cs="Times New Roman"/>
                <w:b/>
                <w:bCs/>
              </w:rPr>
            </w:pPr>
            <w:r w:rsidRPr="00D62F8E">
              <w:rPr>
                <w:rFonts w:ascii="Times New Roman" w:hAnsi="Times New Roman" w:cs="Times New Roman"/>
                <w:b/>
                <w:bCs/>
              </w:rPr>
              <w:t>(Standard Error)</w:t>
            </w:r>
          </w:p>
        </w:tc>
        <w:tc>
          <w:tcPr>
            <w:tcW w:w="2160" w:type="dxa"/>
            <w:hideMark/>
          </w:tcPr>
          <w:p w14:paraId="6964F27C" w14:textId="77777777" w:rsidR="004E53FA" w:rsidRPr="00D62F8E" w:rsidRDefault="004E53FA" w:rsidP="00AD0FF1">
            <w:pPr>
              <w:keepNext/>
              <w:spacing w:line="240" w:lineRule="auto"/>
              <w:rPr>
                <w:rFonts w:ascii="Times New Roman" w:hAnsi="Times New Roman" w:cs="Times New Roman"/>
                <w:b/>
                <w:bCs/>
              </w:rPr>
            </w:pPr>
            <w:r w:rsidRPr="00D62F8E">
              <w:rPr>
                <w:rFonts w:ascii="Times New Roman" w:hAnsi="Times New Roman" w:cs="Times New Roman"/>
                <w:b/>
                <w:bCs/>
              </w:rPr>
              <w:t>t Value</w:t>
            </w:r>
          </w:p>
        </w:tc>
        <w:tc>
          <w:tcPr>
            <w:tcW w:w="2160" w:type="dxa"/>
            <w:hideMark/>
          </w:tcPr>
          <w:p w14:paraId="60B76CAA" w14:textId="77777777" w:rsidR="004E53FA" w:rsidRPr="00D62F8E" w:rsidRDefault="004E53FA" w:rsidP="00AD0FF1">
            <w:pPr>
              <w:keepNext/>
              <w:spacing w:line="240" w:lineRule="auto"/>
              <w:rPr>
                <w:rFonts w:ascii="Times New Roman" w:hAnsi="Times New Roman" w:cs="Times New Roman"/>
                <w:b/>
                <w:bCs/>
              </w:rPr>
            </w:pPr>
            <w:r w:rsidRPr="00D62F8E">
              <w:rPr>
                <w:rFonts w:ascii="Times New Roman" w:hAnsi="Times New Roman" w:cs="Times New Roman"/>
                <w:b/>
                <w:bCs/>
              </w:rPr>
              <w:t>Pr &gt; |t|</w:t>
            </w:r>
          </w:p>
        </w:tc>
      </w:tr>
      <w:tr w:rsidR="004E53FA" w:rsidRPr="004E184C" w14:paraId="18949F65" w14:textId="77777777" w:rsidTr="00DA72DD">
        <w:trPr>
          <w:trHeight w:val="317"/>
        </w:trPr>
        <w:tc>
          <w:tcPr>
            <w:tcW w:w="2520" w:type="dxa"/>
            <w:hideMark/>
          </w:tcPr>
          <w:p w14:paraId="1B63213E" w14:textId="77777777" w:rsidR="004E53FA" w:rsidRPr="00D62F8E" w:rsidRDefault="004E53FA" w:rsidP="00AD0FF1">
            <w:pPr>
              <w:keepNext/>
              <w:spacing w:line="240" w:lineRule="auto"/>
              <w:rPr>
                <w:rFonts w:ascii="Times New Roman" w:hAnsi="Times New Roman" w:cs="Times New Roman"/>
                <w:b/>
                <w:bCs/>
                <w:color w:val="000000" w:themeColor="text1"/>
              </w:rPr>
            </w:pPr>
            <w:r w:rsidRPr="00D62F8E">
              <w:rPr>
                <w:rFonts w:ascii="Times New Roman" w:hAnsi="Times New Roman" w:cs="Times New Roman"/>
                <w:b/>
                <w:bCs/>
                <w:color w:val="000000" w:themeColor="text1"/>
              </w:rPr>
              <w:t>subject continuation</w:t>
            </w:r>
          </w:p>
        </w:tc>
        <w:tc>
          <w:tcPr>
            <w:tcW w:w="2160" w:type="dxa"/>
            <w:hideMark/>
          </w:tcPr>
          <w:p w14:paraId="06A526DA" w14:textId="6F2BBB65" w:rsidR="00D62F8E" w:rsidRPr="00D62F8E" w:rsidRDefault="00D62F8E" w:rsidP="00AD0FF1">
            <w:pPr>
              <w:keepNext/>
              <w:spacing w:line="240" w:lineRule="auto"/>
              <w:jc w:val="right"/>
              <w:rPr>
                <w:rFonts w:ascii="Times New Roman" w:hAnsi="Times New Roman" w:cs="Times New Roman"/>
                <w:color w:val="000000"/>
                <w:lang w:val="it-IT" w:eastAsia="it-IT" w:bidi="bn-BD"/>
              </w:rPr>
            </w:pPr>
            <w:r w:rsidRPr="00D62F8E">
              <w:rPr>
                <w:rFonts w:ascii="Times New Roman" w:hAnsi="Times New Roman" w:cs="Times New Roman"/>
                <w:color w:val="000000"/>
                <w:lang w:val="it-IT" w:eastAsia="it-IT" w:bidi="bn-BD"/>
              </w:rPr>
              <w:t>4.7</w:t>
            </w:r>
            <w:r w:rsidR="006E7EBF">
              <w:rPr>
                <w:rFonts w:ascii="Times New Roman" w:hAnsi="Times New Roman" w:cs="Times New Roman"/>
                <w:color w:val="000000"/>
                <w:lang w:val="it-IT" w:eastAsia="it-IT" w:bidi="bn-BD"/>
              </w:rPr>
              <w:t>4</w:t>
            </w:r>
            <w:r w:rsidR="00DA72DD">
              <w:rPr>
                <w:rFonts w:ascii="Times New Roman" w:hAnsi="Times New Roman" w:cs="Times New Roman"/>
                <w:color w:val="000000"/>
                <w:lang w:val="it-IT" w:eastAsia="it-IT" w:bidi="bn-BD"/>
              </w:rPr>
              <w:t xml:space="preserve"> </w:t>
            </w:r>
            <w:r w:rsidRPr="00D62F8E">
              <w:rPr>
                <w:rFonts w:ascii="Times New Roman" w:hAnsi="Times New Roman" w:cs="Times New Roman"/>
                <w:color w:val="000000"/>
                <w:lang w:val="it-IT" w:eastAsia="it-IT" w:bidi="bn-BD"/>
              </w:rPr>
              <w:t>(0.63)</w:t>
            </w:r>
          </w:p>
          <w:p w14:paraId="44FF05A4" w14:textId="538C18DA" w:rsidR="00D62F8E" w:rsidRPr="00D62F8E" w:rsidRDefault="00D62F8E" w:rsidP="00AD0FF1">
            <w:pPr>
              <w:keepNext/>
              <w:spacing w:line="240" w:lineRule="auto"/>
              <w:jc w:val="right"/>
              <w:rPr>
                <w:rFonts w:ascii="Times New Roman" w:hAnsi="Times New Roman" w:cs="Times New Roman"/>
                <w:color w:val="000000" w:themeColor="text1"/>
              </w:rPr>
            </w:pPr>
          </w:p>
        </w:tc>
        <w:tc>
          <w:tcPr>
            <w:tcW w:w="2160" w:type="dxa"/>
            <w:hideMark/>
          </w:tcPr>
          <w:p w14:paraId="06882E50" w14:textId="6F2B028B" w:rsidR="004E53FA" w:rsidRPr="00D62F8E" w:rsidRDefault="00D62F8E" w:rsidP="00AD0FF1">
            <w:pPr>
              <w:keepNext/>
              <w:spacing w:line="240" w:lineRule="auto"/>
              <w:jc w:val="right"/>
              <w:rPr>
                <w:rFonts w:ascii="Times New Roman" w:hAnsi="Times New Roman" w:cs="Times New Roman"/>
                <w:color w:val="000000" w:themeColor="text1"/>
              </w:rPr>
            </w:pPr>
            <w:r w:rsidRPr="00D62F8E">
              <w:rPr>
                <w:rFonts w:ascii="Times New Roman" w:hAnsi="Times New Roman" w:cs="Times New Roman"/>
                <w:color w:val="000000"/>
                <w:lang w:val="it-IT" w:eastAsia="it-IT" w:bidi="bn-BD"/>
              </w:rPr>
              <w:t>7.47</w:t>
            </w:r>
          </w:p>
        </w:tc>
        <w:tc>
          <w:tcPr>
            <w:tcW w:w="2160" w:type="dxa"/>
            <w:hideMark/>
          </w:tcPr>
          <w:p w14:paraId="31655C59" w14:textId="73E887FD" w:rsidR="004E53FA" w:rsidRPr="00D62F8E" w:rsidRDefault="00D62F8E" w:rsidP="00AD0FF1">
            <w:pPr>
              <w:keepNext/>
              <w:spacing w:line="240" w:lineRule="auto"/>
              <w:jc w:val="right"/>
              <w:rPr>
                <w:rFonts w:ascii="Times New Roman" w:hAnsi="Times New Roman" w:cs="Times New Roman"/>
                <w:color w:val="000000" w:themeColor="text1"/>
              </w:rPr>
            </w:pPr>
            <w:r w:rsidRPr="00D62F8E">
              <w:rPr>
                <w:rFonts w:ascii="Times New Roman" w:hAnsi="Times New Roman" w:cs="Times New Roman"/>
                <w:color w:val="000000"/>
                <w:lang w:val="it-IT" w:eastAsia="it-IT" w:bidi="bn-BD"/>
              </w:rPr>
              <w:t>&lt;.0001</w:t>
            </w:r>
          </w:p>
        </w:tc>
      </w:tr>
      <w:tr w:rsidR="004E53FA" w:rsidRPr="004E184C" w14:paraId="3CB616B7" w14:textId="77777777" w:rsidTr="00DA72DD">
        <w:trPr>
          <w:trHeight w:val="317"/>
        </w:trPr>
        <w:tc>
          <w:tcPr>
            <w:tcW w:w="2520" w:type="dxa"/>
            <w:hideMark/>
          </w:tcPr>
          <w:p w14:paraId="18B3B019" w14:textId="77777777" w:rsidR="004E53FA" w:rsidRPr="00D62F8E" w:rsidRDefault="004E53FA" w:rsidP="00AD0FF1">
            <w:pPr>
              <w:keepNext/>
              <w:rPr>
                <w:rFonts w:ascii="Times New Roman" w:hAnsi="Times New Roman" w:cs="Times New Roman"/>
                <w:b/>
                <w:bCs/>
                <w:color w:val="000000" w:themeColor="text1"/>
              </w:rPr>
            </w:pPr>
            <w:r w:rsidRPr="00D62F8E">
              <w:rPr>
                <w:rFonts w:ascii="Times New Roman" w:hAnsi="Times New Roman" w:cs="Times New Roman"/>
                <w:b/>
                <w:bCs/>
                <w:color w:val="000000" w:themeColor="text1"/>
              </w:rPr>
              <w:t>goal continuation</w:t>
            </w:r>
          </w:p>
        </w:tc>
        <w:tc>
          <w:tcPr>
            <w:tcW w:w="2160" w:type="dxa"/>
            <w:hideMark/>
          </w:tcPr>
          <w:p w14:paraId="407770B8" w14:textId="66934536" w:rsidR="00D62F8E" w:rsidRPr="00DA72DD" w:rsidRDefault="00DA72DD" w:rsidP="00AD0FF1">
            <w:pPr>
              <w:keepNext/>
              <w:spacing w:line="240" w:lineRule="auto"/>
              <w:jc w:val="right"/>
              <w:rPr>
                <w:rFonts w:ascii="Times New Roman" w:hAnsi="Times New Roman" w:cs="Times New Roman"/>
                <w:color w:val="000000"/>
                <w:lang w:val="it-IT" w:eastAsia="it-IT" w:bidi="bn-BD"/>
              </w:rPr>
            </w:pPr>
            <w:r>
              <w:rPr>
                <w:rFonts w:ascii="Times New Roman" w:hAnsi="Times New Roman" w:cs="Times New Roman"/>
                <w:color w:val="000000"/>
                <w:lang w:val="it-IT" w:eastAsia="it-IT" w:bidi="bn-BD"/>
              </w:rPr>
              <w:t xml:space="preserve">0.48 </w:t>
            </w:r>
            <w:r w:rsidR="00D62F8E" w:rsidRPr="00D62F8E">
              <w:rPr>
                <w:rFonts w:ascii="Times New Roman" w:hAnsi="Times New Roman" w:cs="Times New Roman"/>
                <w:color w:val="000000"/>
                <w:lang w:val="it-IT" w:eastAsia="it-IT" w:bidi="bn-BD"/>
              </w:rPr>
              <w:t>(0.4</w:t>
            </w:r>
            <w:r w:rsidR="006E7EBF">
              <w:rPr>
                <w:rFonts w:ascii="Times New Roman" w:hAnsi="Times New Roman" w:cs="Times New Roman"/>
                <w:color w:val="000000"/>
                <w:lang w:val="it-IT" w:eastAsia="it-IT" w:bidi="bn-BD"/>
              </w:rPr>
              <w:t>4</w:t>
            </w:r>
            <w:r w:rsidR="00D62F8E" w:rsidRPr="00D62F8E">
              <w:rPr>
                <w:rFonts w:ascii="Times New Roman" w:hAnsi="Times New Roman" w:cs="Times New Roman"/>
                <w:color w:val="000000"/>
                <w:lang w:val="it-IT" w:eastAsia="it-IT" w:bidi="bn-BD"/>
              </w:rPr>
              <w:t>)</w:t>
            </w:r>
          </w:p>
        </w:tc>
        <w:tc>
          <w:tcPr>
            <w:tcW w:w="2160" w:type="dxa"/>
            <w:hideMark/>
          </w:tcPr>
          <w:p w14:paraId="412C212E" w14:textId="6421FDD4" w:rsidR="004E53FA" w:rsidRPr="00D62F8E" w:rsidRDefault="00D62F8E" w:rsidP="00AD0FF1">
            <w:pPr>
              <w:keepNext/>
              <w:spacing w:line="240" w:lineRule="auto"/>
              <w:jc w:val="right"/>
              <w:rPr>
                <w:rFonts w:ascii="Times New Roman" w:hAnsi="Times New Roman" w:cs="Times New Roman"/>
                <w:color w:val="000000" w:themeColor="text1"/>
              </w:rPr>
            </w:pPr>
            <w:r w:rsidRPr="00D62F8E">
              <w:rPr>
                <w:rFonts w:ascii="Times New Roman" w:hAnsi="Times New Roman" w:cs="Times New Roman"/>
                <w:color w:val="000000"/>
                <w:lang w:val="it-IT" w:eastAsia="it-IT" w:bidi="bn-BD"/>
              </w:rPr>
              <w:t>1.11</w:t>
            </w:r>
          </w:p>
        </w:tc>
        <w:tc>
          <w:tcPr>
            <w:tcW w:w="2160" w:type="dxa"/>
            <w:hideMark/>
          </w:tcPr>
          <w:p w14:paraId="5501AF7C" w14:textId="0661A5E7" w:rsidR="004E53FA" w:rsidRPr="00D62F8E" w:rsidRDefault="00D62F8E" w:rsidP="00AD0FF1">
            <w:pPr>
              <w:keepNext/>
              <w:spacing w:line="240" w:lineRule="auto"/>
              <w:jc w:val="right"/>
              <w:rPr>
                <w:rFonts w:ascii="Times New Roman" w:hAnsi="Times New Roman" w:cs="Times New Roman"/>
                <w:color w:val="000000" w:themeColor="text1"/>
              </w:rPr>
            </w:pPr>
            <w:r w:rsidRPr="00D62F8E">
              <w:rPr>
                <w:rFonts w:ascii="Times New Roman" w:hAnsi="Times New Roman" w:cs="Times New Roman"/>
                <w:color w:val="000000"/>
                <w:lang w:val="it-IT" w:eastAsia="it-IT" w:bidi="bn-BD"/>
              </w:rPr>
              <w:t>0.2833</w:t>
            </w:r>
          </w:p>
        </w:tc>
      </w:tr>
      <w:tr w:rsidR="004E53FA" w:rsidRPr="004E184C" w14:paraId="459ACFF7" w14:textId="77777777" w:rsidTr="00DA72DD">
        <w:trPr>
          <w:trHeight w:val="317"/>
        </w:trPr>
        <w:tc>
          <w:tcPr>
            <w:tcW w:w="2520" w:type="dxa"/>
            <w:hideMark/>
          </w:tcPr>
          <w:p w14:paraId="30924F2F" w14:textId="77777777" w:rsidR="004E53FA" w:rsidRPr="00D62F8E" w:rsidRDefault="004E53FA" w:rsidP="00AD0FF1">
            <w:pPr>
              <w:keepNext/>
              <w:spacing w:line="240" w:lineRule="auto"/>
              <w:rPr>
                <w:rFonts w:ascii="Times New Roman" w:hAnsi="Times New Roman" w:cs="Times New Roman"/>
                <w:b/>
                <w:bCs/>
                <w:color w:val="000000" w:themeColor="text1"/>
              </w:rPr>
            </w:pPr>
            <w:r w:rsidRPr="00D62F8E">
              <w:rPr>
                <w:rFonts w:ascii="Times New Roman" w:hAnsi="Times New Roman" w:cs="Times New Roman"/>
                <w:b/>
                <w:bCs/>
                <w:color w:val="000000" w:themeColor="text1"/>
              </w:rPr>
              <w:t>latency</w:t>
            </w:r>
          </w:p>
        </w:tc>
        <w:tc>
          <w:tcPr>
            <w:tcW w:w="2160" w:type="dxa"/>
            <w:hideMark/>
          </w:tcPr>
          <w:p w14:paraId="19BB681F" w14:textId="4DA48212" w:rsidR="00D62F8E" w:rsidRDefault="00D62F8E" w:rsidP="00AD0FF1">
            <w:pPr>
              <w:keepNext/>
              <w:spacing w:line="240" w:lineRule="auto"/>
              <w:jc w:val="right"/>
              <w:rPr>
                <w:rFonts w:ascii="Times New Roman" w:hAnsi="Times New Roman" w:cs="Times New Roman"/>
                <w:color w:val="000000"/>
                <w:lang w:val="it-IT" w:eastAsia="it-IT" w:bidi="bn-BD"/>
              </w:rPr>
            </w:pPr>
            <w:r w:rsidRPr="00D62F8E">
              <w:rPr>
                <w:rFonts w:ascii="Times New Roman" w:hAnsi="Times New Roman" w:cs="Times New Roman"/>
                <w:color w:val="000000"/>
                <w:lang w:val="it-IT" w:eastAsia="it-IT" w:bidi="bn-BD"/>
              </w:rPr>
              <w:t>0.00003</w:t>
            </w:r>
            <w:r w:rsidR="00DA72DD">
              <w:rPr>
                <w:rFonts w:ascii="Times New Roman" w:hAnsi="Times New Roman" w:cs="Times New Roman"/>
                <w:color w:val="000000"/>
                <w:lang w:val="it-IT" w:eastAsia="it-IT" w:bidi="bn-BD"/>
              </w:rPr>
              <w:t xml:space="preserve"> </w:t>
            </w:r>
            <w:r w:rsidRPr="00D62F8E">
              <w:rPr>
                <w:rFonts w:ascii="Times New Roman" w:hAnsi="Times New Roman" w:cs="Times New Roman"/>
                <w:color w:val="000000"/>
                <w:lang w:val="it-IT" w:eastAsia="it-IT" w:bidi="bn-BD"/>
              </w:rPr>
              <w:t>(0.0001)</w:t>
            </w:r>
          </w:p>
          <w:p w14:paraId="77F49CB5" w14:textId="5C88EAB1" w:rsidR="00D62F8E" w:rsidRPr="00D62F8E" w:rsidRDefault="00D62F8E" w:rsidP="00AD0FF1">
            <w:pPr>
              <w:keepNext/>
              <w:spacing w:line="240" w:lineRule="auto"/>
              <w:jc w:val="right"/>
              <w:rPr>
                <w:rFonts w:ascii="Times New Roman" w:hAnsi="Times New Roman" w:cs="Times New Roman"/>
                <w:color w:val="000000" w:themeColor="text1"/>
              </w:rPr>
            </w:pPr>
          </w:p>
        </w:tc>
        <w:tc>
          <w:tcPr>
            <w:tcW w:w="2160" w:type="dxa"/>
            <w:hideMark/>
          </w:tcPr>
          <w:p w14:paraId="7E2CB566" w14:textId="0DB5E039" w:rsidR="004E53FA" w:rsidRPr="00D62F8E" w:rsidRDefault="00D62F8E" w:rsidP="00AD0FF1">
            <w:pPr>
              <w:keepNext/>
              <w:spacing w:line="240" w:lineRule="auto"/>
              <w:jc w:val="right"/>
              <w:rPr>
                <w:rFonts w:ascii="Times New Roman" w:hAnsi="Times New Roman" w:cs="Times New Roman"/>
                <w:color w:val="000000" w:themeColor="text1"/>
              </w:rPr>
            </w:pPr>
            <w:r w:rsidRPr="00D62F8E">
              <w:rPr>
                <w:rFonts w:ascii="Times New Roman" w:hAnsi="Times New Roman" w:cs="Times New Roman"/>
                <w:color w:val="000000"/>
                <w:lang w:val="it-IT" w:eastAsia="it-IT" w:bidi="bn-BD"/>
              </w:rPr>
              <w:t>0.23</w:t>
            </w:r>
          </w:p>
        </w:tc>
        <w:tc>
          <w:tcPr>
            <w:tcW w:w="2160" w:type="dxa"/>
            <w:hideMark/>
          </w:tcPr>
          <w:p w14:paraId="14380EC1" w14:textId="5D943B4D" w:rsidR="004E53FA" w:rsidRPr="00D62F8E" w:rsidRDefault="00D62F8E" w:rsidP="00AD0FF1">
            <w:pPr>
              <w:keepNext/>
              <w:spacing w:line="240" w:lineRule="auto"/>
              <w:jc w:val="right"/>
              <w:rPr>
                <w:rFonts w:ascii="Times New Roman" w:hAnsi="Times New Roman" w:cs="Times New Roman"/>
                <w:color w:val="000000" w:themeColor="text1"/>
              </w:rPr>
            </w:pPr>
            <w:r w:rsidRPr="00D62F8E">
              <w:rPr>
                <w:rFonts w:ascii="Times New Roman" w:hAnsi="Times New Roman" w:cs="Times New Roman"/>
                <w:color w:val="000000"/>
                <w:lang w:val="it-IT" w:eastAsia="it-IT" w:bidi="bn-BD"/>
              </w:rPr>
              <w:t>0.8181</w:t>
            </w:r>
          </w:p>
        </w:tc>
      </w:tr>
      <w:tr w:rsidR="004E53FA" w:rsidRPr="004E184C" w14:paraId="3B2EF4DE" w14:textId="77777777" w:rsidTr="00DA72DD">
        <w:trPr>
          <w:trHeight w:val="317"/>
        </w:trPr>
        <w:tc>
          <w:tcPr>
            <w:tcW w:w="2520" w:type="dxa"/>
            <w:hideMark/>
          </w:tcPr>
          <w:p w14:paraId="5F290601" w14:textId="253EFFB2" w:rsidR="004E53FA" w:rsidRPr="00D62F8E" w:rsidRDefault="004E53FA" w:rsidP="00AD0FF1">
            <w:pPr>
              <w:keepNext/>
              <w:spacing w:line="240" w:lineRule="auto"/>
              <w:rPr>
                <w:rFonts w:ascii="Times New Roman" w:hAnsi="Times New Roman" w:cs="Times New Roman"/>
                <w:b/>
                <w:bCs/>
                <w:color w:val="000000" w:themeColor="text1"/>
              </w:rPr>
            </w:pPr>
            <w:r w:rsidRPr="00D62F8E">
              <w:rPr>
                <w:rFonts w:ascii="Times New Roman" w:hAnsi="Times New Roman" w:cs="Times New Roman"/>
                <w:b/>
                <w:bCs/>
                <w:color w:val="000000" w:themeColor="text1"/>
              </w:rPr>
              <w:t xml:space="preserve">detective </w:t>
            </w:r>
            <w:r w:rsidR="00425F35">
              <w:rPr>
                <w:rFonts w:ascii="Times New Roman" w:hAnsi="Times New Roman" w:cs="Times New Roman"/>
                <w:b/>
                <w:bCs/>
                <w:color w:val="000000" w:themeColor="text1"/>
              </w:rPr>
              <w:t>sentence duration</w:t>
            </w:r>
          </w:p>
        </w:tc>
        <w:tc>
          <w:tcPr>
            <w:tcW w:w="2160" w:type="dxa"/>
            <w:hideMark/>
          </w:tcPr>
          <w:p w14:paraId="43D834F2" w14:textId="3B1EC46E" w:rsidR="00D62F8E" w:rsidRPr="00DA72DD" w:rsidRDefault="00D62F8E" w:rsidP="00AD0FF1">
            <w:pPr>
              <w:keepNext/>
              <w:spacing w:line="240" w:lineRule="auto"/>
              <w:jc w:val="right"/>
              <w:rPr>
                <w:rFonts w:ascii="Times New Roman" w:hAnsi="Times New Roman" w:cs="Times New Roman"/>
                <w:color w:val="000000"/>
                <w:lang w:val="it-IT" w:eastAsia="it-IT" w:bidi="bn-BD"/>
              </w:rPr>
            </w:pPr>
            <w:r w:rsidRPr="00D62F8E">
              <w:rPr>
                <w:rFonts w:ascii="Times New Roman" w:hAnsi="Times New Roman" w:cs="Times New Roman"/>
                <w:color w:val="000000"/>
                <w:lang w:val="it-IT" w:eastAsia="it-IT" w:bidi="bn-BD"/>
              </w:rPr>
              <w:t>-0.00003</w:t>
            </w:r>
            <w:r w:rsidR="00DA72DD">
              <w:rPr>
                <w:rFonts w:ascii="Times New Roman" w:hAnsi="Times New Roman" w:cs="Times New Roman"/>
                <w:color w:val="000000"/>
                <w:lang w:val="it-IT" w:eastAsia="it-IT" w:bidi="bn-BD"/>
              </w:rPr>
              <w:t xml:space="preserve">  </w:t>
            </w:r>
            <w:r w:rsidRPr="00D62F8E">
              <w:rPr>
                <w:rFonts w:ascii="Times New Roman" w:hAnsi="Times New Roman" w:cs="Times New Roman"/>
                <w:color w:val="000000"/>
                <w:lang w:val="it-IT" w:eastAsia="it-IT" w:bidi="bn-BD"/>
              </w:rPr>
              <w:t>(0.00009)</w:t>
            </w:r>
          </w:p>
        </w:tc>
        <w:tc>
          <w:tcPr>
            <w:tcW w:w="2160" w:type="dxa"/>
            <w:hideMark/>
          </w:tcPr>
          <w:p w14:paraId="587406EC" w14:textId="132FAD86" w:rsidR="004E53FA" w:rsidRPr="00D62F8E" w:rsidRDefault="00D62F8E" w:rsidP="00AD0FF1">
            <w:pPr>
              <w:keepNext/>
              <w:spacing w:line="240" w:lineRule="auto"/>
              <w:jc w:val="right"/>
              <w:rPr>
                <w:rFonts w:ascii="Times New Roman" w:hAnsi="Times New Roman" w:cs="Times New Roman"/>
                <w:color w:val="000000" w:themeColor="text1"/>
              </w:rPr>
            </w:pPr>
            <w:r w:rsidRPr="00D62F8E">
              <w:rPr>
                <w:rFonts w:ascii="Times New Roman" w:hAnsi="Times New Roman" w:cs="Times New Roman"/>
                <w:color w:val="000000"/>
                <w:lang w:val="it-IT" w:eastAsia="it-IT" w:bidi="bn-BD"/>
              </w:rPr>
              <w:t>-0.33</w:t>
            </w:r>
          </w:p>
        </w:tc>
        <w:tc>
          <w:tcPr>
            <w:tcW w:w="2160" w:type="dxa"/>
            <w:hideMark/>
          </w:tcPr>
          <w:p w14:paraId="763A71DC" w14:textId="09B95D54" w:rsidR="004E53FA" w:rsidRPr="00D62F8E" w:rsidRDefault="00D62F8E" w:rsidP="00AD0FF1">
            <w:pPr>
              <w:keepNext/>
              <w:spacing w:line="240" w:lineRule="auto"/>
              <w:jc w:val="right"/>
              <w:rPr>
                <w:rFonts w:ascii="Times New Roman" w:hAnsi="Times New Roman" w:cs="Times New Roman"/>
                <w:color w:val="000000" w:themeColor="text1"/>
              </w:rPr>
            </w:pPr>
            <w:r w:rsidRPr="00D62F8E">
              <w:rPr>
                <w:rFonts w:ascii="Times New Roman" w:hAnsi="Times New Roman" w:cs="Times New Roman"/>
                <w:color w:val="000000"/>
                <w:lang w:val="it-IT" w:eastAsia="it-IT" w:bidi="bn-BD"/>
              </w:rPr>
              <w:t>0.743</w:t>
            </w:r>
          </w:p>
        </w:tc>
      </w:tr>
    </w:tbl>
    <w:p w14:paraId="7D1C420F" w14:textId="0ECE88D3" w:rsidR="00D62F8E" w:rsidRDefault="00DA72DD" w:rsidP="00AD0FF1">
      <w:pPr>
        <w:keepNext/>
      </w:pPr>
      <w:r>
        <w:t>*</w:t>
      </w:r>
      <w:r w:rsidR="004E53FA">
        <w:t>Subject continuation was a random slope by both participants and items; goal continuation was a random slope by participants; all other slopes estimated to be zero by the model</w:t>
      </w:r>
    </w:p>
    <w:p w14:paraId="31011693" w14:textId="11CBDBF3" w:rsidR="00DA72DD" w:rsidRDefault="00FF61B2" w:rsidP="00FF61B2">
      <w:pPr>
        <w:spacing w:line="240" w:lineRule="auto"/>
      </w:pPr>
      <w:r>
        <w:br w:type="page"/>
      </w:r>
    </w:p>
    <w:p w14:paraId="1374AA83" w14:textId="63B95D8F" w:rsidR="004E53FA" w:rsidRDefault="008615B4" w:rsidP="00AF7E81">
      <w:r w:rsidRPr="2EBC3AA5">
        <w:rPr>
          <w:i/>
          <w:iCs/>
        </w:rPr>
        <w:lastRenderedPageBreak/>
        <w:t>Table 1</w:t>
      </w:r>
      <w:r w:rsidR="00A24523">
        <w:rPr>
          <w:i/>
          <w:iCs/>
        </w:rPr>
        <w:t>5</w:t>
      </w:r>
      <w:r w:rsidRPr="2EBC3AA5">
        <w:rPr>
          <w:i/>
          <w:iCs/>
        </w:rPr>
        <w:t>.</w:t>
      </w:r>
      <w:r>
        <w:t xml:space="preserve"> </w:t>
      </w:r>
      <w:r w:rsidR="00EB7437">
        <w:t xml:space="preserve">Experiment 2 </w:t>
      </w:r>
      <w:r>
        <w:t>Model for overt pronoun responses, including latency as a predictor</w:t>
      </w:r>
    </w:p>
    <w:tbl>
      <w:tblPr>
        <w:tblStyle w:val="TableGrid"/>
        <w:tblpPr w:leftFromText="141" w:rightFromText="141" w:vertAnchor="text" w:tblpY="1"/>
        <w:tblW w:w="9000" w:type="dxa"/>
        <w:tblLook w:val="04A0" w:firstRow="1" w:lastRow="0" w:firstColumn="1" w:lastColumn="0" w:noHBand="0" w:noVBand="1"/>
      </w:tblPr>
      <w:tblGrid>
        <w:gridCol w:w="2520"/>
        <w:gridCol w:w="2160"/>
        <w:gridCol w:w="2160"/>
        <w:gridCol w:w="2160"/>
      </w:tblGrid>
      <w:tr w:rsidR="004E53FA" w:rsidRPr="004E184C" w14:paraId="71144494" w14:textId="77777777" w:rsidTr="00DA72DD">
        <w:trPr>
          <w:trHeight w:val="317"/>
        </w:trPr>
        <w:tc>
          <w:tcPr>
            <w:tcW w:w="2520" w:type="dxa"/>
            <w:hideMark/>
          </w:tcPr>
          <w:p w14:paraId="04562D03" w14:textId="77777777" w:rsidR="004E53FA" w:rsidRPr="004E53FA" w:rsidRDefault="004E53FA" w:rsidP="00DA72DD">
            <w:pPr>
              <w:spacing w:line="240" w:lineRule="auto"/>
              <w:rPr>
                <w:rFonts w:ascii="Times New Roman" w:hAnsi="Times New Roman" w:cs="Times New Roman"/>
                <w:b/>
                <w:bCs/>
                <w:lang w:val="it-IT"/>
              </w:rPr>
            </w:pPr>
            <w:r w:rsidRPr="004E53FA">
              <w:rPr>
                <w:rFonts w:ascii="Times New Roman" w:hAnsi="Times New Roman" w:cs="Times New Roman"/>
                <w:b/>
                <w:bCs/>
              </w:rPr>
              <w:t>Effect</w:t>
            </w:r>
          </w:p>
        </w:tc>
        <w:tc>
          <w:tcPr>
            <w:tcW w:w="2160" w:type="dxa"/>
            <w:hideMark/>
          </w:tcPr>
          <w:p w14:paraId="79096F3A" w14:textId="77777777" w:rsidR="004E53FA" w:rsidRPr="004E53FA" w:rsidRDefault="004E53FA" w:rsidP="00DA72DD">
            <w:pPr>
              <w:spacing w:line="240" w:lineRule="auto"/>
              <w:rPr>
                <w:rFonts w:ascii="Times New Roman" w:hAnsi="Times New Roman" w:cs="Times New Roman"/>
                <w:b/>
                <w:bCs/>
              </w:rPr>
            </w:pPr>
            <w:r w:rsidRPr="004E53FA">
              <w:rPr>
                <w:rFonts w:ascii="Times New Roman" w:hAnsi="Times New Roman" w:cs="Times New Roman"/>
                <w:b/>
                <w:bCs/>
              </w:rPr>
              <w:t xml:space="preserve">Estimate </w:t>
            </w:r>
          </w:p>
          <w:p w14:paraId="79FD0B8A" w14:textId="77777777" w:rsidR="004E53FA" w:rsidRPr="004E53FA" w:rsidRDefault="004E53FA" w:rsidP="00DA72DD">
            <w:pPr>
              <w:spacing w:line="240" w:lineRule="auto"/>
              <w:rPr>
                <w:rFonts w:ascii="Times New Roman" w:hAnsi="Times New Roman" w:cs="Times New Roman"/>
                <w:b/>
                <w:bCs/>
              </w:rPr>
            </w:pPr>
            <w:r w:rsidRPr="004E53FA">
              <w:rPr>
                <w:rFonts w:ascii="Times New Roman" w:hAnsi="Times New Roman" w:cs="Times New Roman"/>
                <w:b/>
                <w:bCs/>
              </w:rPr>
              <w:t>(Standard Error)</w:t>
            </w:r>
          </w:p>
        </w:tc>
        <w:tc>
          <w:tcPr>
            <w:tcW w:w="2160" w:type="dxa"/>
            <w:hideMark/>
          </w:tcPr>
          <w:p w14:paraId="7BB0968E" w14:textId="77777777" w:rsidR="004E53FA" w:rsidRPr="004E53FA" w:rsidRDefault="004E53FA" w:rsidP="00DA72DD">
            <w:pPr>
              <w:rPr>
                <w:rFonts w:ascii="Times New Roman" w:hAnsi="Times New Roman" w:cs="Times New Roman"/>
                <w:b/>
                <w:bCs/>
              </w:rPr>
            </w:pPr>
            <w:r w:rsidRPr="004E53FA">
              <w:rPr>
                <w:rFonts w:ascii="Times New Roman" w:hAnsi="Times New Roman" w:cs="Times New Roman"/>
                <w:b/>
                <w:bCs/>
              </w:rPr>
              <w:t>t Value</w:t>
            </w:r>
          </w:p>
        </w:tc>
        <w:tc>
          <w:tcPr>
            <w:tcW w:w="2160" w:type="dxa"/>
            <w:hideMark/>
          </w:tcPr>
          <w:p w14:paraId="408CB54E" w14:textId="77777777" w:rsidR="004E53FA" w:rsidRPr="004E53FA" w:rsidRDefault="004E53FA" w:rsidP="00DA72DD">
            <w:pPr>
              <w:rPr>
                <w:rFonts w:ascii="Times New Roman" w:hAnsi="Times New Roman" w:cs="Times New Roman"/>
                <w:b/>
                <w:bCs/>
              </w:rPr>
            </w:pPr>
            <w:r w:rsidRPr="004E53FA">
              <w:rPr>
                <w:rFonts w:ascii="Times New Roman" w:hAnsi="Times New Roman" w:cs="Times New Roman"/>
                <w:b/>
                <w:bCs/>
              </w:rPr>
              <w:t>Pr &gt; |t|</w:t>
            </w:r>
          </w:p>
        </w:tc>
      </w:tr>
      <w:tr w:rsidR="004E53FA" w:rsidRPr="004E184C" w14:paraId="1D623A4E" w14:textId="77777777" w:rsidTr="00DA72DD">
        <w:trPr>
          <w:trHeight w:val="317"/>
        </w:trPr>
        <w:tc>
          <w:tcPr>
            <w:tcW w:w="2520" w:type="dxa"/>
            <w:hideMark/>
          </w:tcPr>
          <w:p w14:paraId="3197DA67" w14:textId="77777777" w:rsidR="004E53FA" w:rsidRPr="004E53FA" w:rsidRDefault="004E53FA" w:rsidP="00DA72DD">
            <w:pPr>
              <w:spacing w:line="240" w:lineRule="auto"/>
              <w:rPr>
                <w:rFonts w:ascii="Times New Roman" w:hAnsi="Times New Roman" w:cs="Times New Roman"/>
                <w:b/>
                <w:bCs/>
                <w:color w:val="000000" w:themeColor="text1"/>
              </w:rPr>
            </w:pPr>
            <w:r w:rsidRPr="004E53FA">
              <w:rPr>
                <w:rFonts w:ascii="Times New Roman" w:hAnsi="Times New Roman" w:cs="Times New Roman"/>
                <w:b/>
                <w:bCs/>
                <w:color w:val="000000" w:themeColor="text1"/>
              </w:rPr>
              <w:t>subject continuation</w:t>
            </w:r>
          </w:p>
        </w:tc>
        <w:tc>
          <w:tcPr>
            <w:tcW w:w="2160" w:type="dxa"/>
            <w:hideMark/>
          </w:tcPr>
          <w:p w14:paraId="361E40A6" w14:textId="351B3B9B" w:rsidR="004E53FA" w:rsidRDefault="004E53FA" w:rsidP="00DA72DD">
            <w:pPr>
              <w:spacing w:line="240" w:lineRule="auto"/>
              <w:jc w:val="right"/>
              <w:rPr>
                <w:rFonts w:ascii="Times New Roman" w:hAnsi="Times New Roman" w:cs="Times New Roman"/>
                <w:color w:val="000000"/>
                <w:lang w:val="it-IT" w:eastAsia="it-IT" w:bidi="bn-BD"/>
              </w:rPr>
            </w:pPr>
            <w:r w:rsidRPr="001514AA">
              <w:rPr>
                <w:rFonts w:ascii="Times New Roman" w:hAnsi="Times New Roman" w:cs="Times New Roman"/>
                <w:color w:val="000000"/>
                <w:lang w:val="it-IT" w:eastAsia="it-IT" w:bidi="bn-BD"/>
              </w:rPr>
              <w:t>-0.82</w:t>
            </w:r>
            <w:r w:rsidR="00DA72DD">
              <w:rPr>
                <w:rFonts w:ascii="Times New Roman" w:hAnsi="Times New Roman" w:cs="Times New Roman"/>
                <w:color w:val="000000"/>
                <w:lang w:val="it-IT" w:eastAsia="it-IT" w:bidi="bn-BD"/>
              </w:rPr>
              <w:t xml:space="preserve"> </w:t>
            </w:r>
            <w:r w:rsidRPr="004E53FA">
              <w:rPr>
                <w:rFonts w:ascii="Times New Roman" w:hAnsi="Times New Roman" w:cs="Times New Roman"/>
                <w:color w:val="000000"/>
                <w:lang w:val="it-IT" w:eastAsia="it-IT" w:bidi="bn-BD"/>
              </w:rPr>
              <w:t>(</w:t>
            </w:r>
            <w:r w:rsidRPr="001514AA">
              <w:rPr>
                <w:rFonts w:ascii="Times New Roman" w:hAnsi="Times New Roman" w:cs="Times New Roman"/>
                <w:color w:val="000000"/>
                <w:lang w:val="it-IT" w:eastAsia="it-IT" w:bidi="bn-BD"/>
              </w:rPr>
              <w:t>0.44</w:t>
            </w:r>
            <w:r w:rsidRPr="004E53FA">
              <w:rPr>
                <w:rFonts w:ascii="Times New Roman" w:hAnsi="Times New Roman" w:cs="Times New Roman"/>
                <w:color w:val="000000"/>
                <w:lang w:val="it-IT" w:eastAsia="it-IT" w:bidi="bn-BD"/>
              </w:rPr>
              <w:t>)</w:t>
            </w:r>
          </w:p>
          <w:p w14:paraId="29A265FB" w14:textId="718408F3" w:rsidR="004E53FA" w:rsidRPr="004E53FA" w:rsidRDefault="004E53FA" w:rsidP="00DA72DD">
            <w:pPr>
              <w:spacing w:line="240" w:lineRule="auto"/>
              <w:jc w:val="right"/>
              <w:rPr>
                <w:rFonts w:ascii="Times New Roman" w:hAnsi="Times New Roman" w:cs="Times New Roman"/>
                <w:color w:val="000000" w:themeColor="text1"/>
              </w:rPr>
            </w:pPr>
          </w:p>
        </w:tc>
        <w:tc>
          <w:tcPr>
            <w:tcW w:w="2160" w:type="dxa"/>
            <w:hideMark/>
          </w:tcPr>
          <w:p w14:paraId="562F0960" w14:textId="4F14C29D" w:rsidR="004E53FA" w:rsidRPr="004E53FA" w:rsidRDefault="004E53FA" w:rsidP="00DA72DD">
            <w:pPr>
              <w:jc w:val="right"/>
              <w:rPr>
                <w:rFonts w:ascii="Times New Roman" w:hAnsi="Times New Roman" w:cs="Times New Roman"/>
                <w:color w:val="000000" w:themeColor="text1"/>
              </w:rPr>
            </w:pPr>
            <w:r w:rsidRPr="001514AA">
              <w:rPr>
                <w:rFonts w:ascii="Times New Roman" w:hAnsi="Times New Roman" w:cs="Times New Roman"/>
                <w:color w:val="000000"/>
                <w:lang w:val="it-IT" w:eastAsia="it-IT" w:bidi="bn-BD"/>
              </w:rPr>
              <w:t>-1.86</w:t>
            </w:r>
          </w:p>
        </w:tc>
        <w:tc>
          <w:tcPr>
            <w:tcW w:w="2160" w:type="dxa"/>
            <w:hideMark/>
          </w:tcPr>
          <w:p w14:paraId="658794BE" w14:textId="439824C0" w:rsidR="004E53FA" w:rsidRPr="004E53FA" w:rsidRDefault="00DA72DD" w:rsidP="00DA72DD">
            <w:pPr>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0.08</w:t>
            </w:r>
          </w:p>
        </w:tc>
      </w:tr>
      <w:tr w:rsidR="004E53FA" w:rsidRPr="004E184C" w14:paraId="061FEA39" w14:textId="77777777" w:rsidTr="00DA72DD">
        <w:trPr>
          <w:trHeight w:val="317"/>
        </w:trPr>
        <w:tc>
          <w:tcPr>
            <w:tcW w:w="2520" w:type="dxa"/>
            <w:hideMark/>
          </w:tcPr>
          <w:p w14:paraId="5C6390C9" w14:textId="77777777" w:rsidR="004E53FA" w:rsidRPr="004E53FA" w:rsidRDefault="004E53FA" w:rsidP="00DA72DD">
            <w:pPr>
              <w:rPr>
                <w:rFonts w:ascii="Times New Roman" w:hAnsi="Times New Roman" w:cs="Times New Roman"/>
                <w:b/>
                <w:bCs/>
                <w:color w:val="000000" w:themeColor="text1"/>
              </w:rPr>
            </w:pPr>
            <w:r w:rsidRPr="004E53FA">
              <w:rPr>
                <w:rFonts w:ascii="Times New Roman" w:hAnsi="Times New Roman" w:cs="Times New Roman"/>
                <w:b/>
                <w:bCs/>
                <w:color w:val="000000" w:themeColor="text1"/>
              </w:rPr>
              <w:t>goal continuation</w:t>
            </w:r>
          </w:p>
        </w:tc>
        <w:tc>
          <w:tcPr>
            <w:tcW w:w="2160" w:type="dxa"/>
            <w:hideMark/>
          </w:tcPr>
          <w:p w14:paraId="72B64FAD" w14:textId="00BCA9C3" w:rsidR="004E53FA" w:rsidRPr="00DA72DD" w:rsidRDefault="004E53FA" w:rsidP="00DA72DD">
            <w:pPr>
              <w:spacing w:line="240" w:lineRule="auto"/>
              <w:jc w:val="right"/>
              <w:rPr>
                <w:rFonts w:ascii="Times New Roman" w:hAnsi="Times New Roman" w:cs="Times New Roman"/>
                <w:color w:val="000000"/>
                <w:lang w:val="it-IT" w:eastAsia="it-IT" w:bidi="bn-BD"/>
              </w:rPr>
            </w:pPr>
            <w:r w:rsidRPr="001514AA">
              <w:rPr>
                <w:rFonts w:ascii="Times New Roman" w:hAnsi="Times New Roman" w:cs="Times New Roman"/>
                <w:color w:val="000000"/>
                <w:lang w:val="it-IT" w:eastAsia="it-IT" w:bidi="bn-BD"/>
              </w:rPr>
              <w:t>0.8</w:t>
            </w:r>
            <w:r w:rsidR="00EF25F5">
              <w:rPr>
                <w:rFonts w:ascii="Times New Roman" w:hAnsi="Times New Roman" w:cs="Times New Roman"/>
                <w:color w:val="000000"/>
                <w:lang w:val="it-IT" w:eastAsia="it-IT" w:bidi="bn-BD"/>
              </w:rPr>
              <w:t>1</w:t>
            </w:r>
            <w:r w:rsidR="00DA72DD">
              <w:rPr>
                <w:rFonts w:ascii="Times New Roman" w:hAnsi="Times New Roman" w:cs="Times New Roman"/>
                <w:color w:val="000000"/>
                <w:lang w:val="it-IT" w:eastAsia="it-IT" w:bidi="bn-BD"/>
              </w:rPr>
              <w:t xml:space="preserve"> </w:t>
            </w:r>
            <w:r w:rsidRPr="004E53FA">
              <w:rPr>
                <w:rFonts w:ascii="Times New Roman" w:hAnsi="Times New Roman" w:cs="Times New Roman"/>
                <w:color w:val="000000"/>
                <w:lang w:val="it-IT" w:eastAsia="it-IT" w:bidi="bn-BD"/>
              </w:rPr>
              <w:t>(</w:t>
            </w:r>
            <w:r w:rsidRPr="001514AA">
              <w:rPr>
                <w:rFonts w:ascii="Times New Roman" w:hAnsi="Times New Roman" w:cs="Times New Roman"/>
                <w:color w:val="000000"/>
                <w:lang w:val="it-IT" w:eastAsia="it-IT" w:bidi="bn-BD"/>
              </w:rPr>
              <w:t>0.3</w:t>
            </w:r>
            <w:r w:rsidR="00EF25F5">
              <w:rPr>
                <w:rFonts w:ascii="Times New Roman" w:hAnsi="Times New Roman" w:cs="Times New Roman"/>
                <w:color w:val="000000"/>
                <w:lang w:val="it-IT" w:eastAsia="it-IT" w:bidi="bn-BD"/>
              </w:rPr>
              <w:t>7</w:t>
            </w:r>
            <w:r w:rsidRPr="004E53FA">
              <w:rPr>
                <w:rFonts w:ascii="Times New Roman" w:hAnsi="Times New Roman" w:cs="Times New Roman"/>
                <w:color w:val="000000"/>
                <w:lang w:val="it-IT" w:eastAsia="it-IT" w:bidi="bn-BD"/>
              </w:rPr>
              <w:t>)</w:t>
            </w:r>
          </w:p>
        </w:tc>
        <w:tc>
          <w:tcPr>
            <w:tcW w:w="2160" w:type="dxa"/>
            <w:hideMark/>
          </w:tcPr>
          <w:p w14:paraId="571B85D3" w14:textId="36BF6117" w:rsidR="004E53FA" w:rsidRPr="004E53FA" w:rsidRDefault="004E53FA" w:rsidP="00DA72DD">
            <w:pPr>
              <w:spacing w:line="240" w:lineRule="auto"/>
              <w:jc w:val="right"/>
              <w:rPr>
                <w:rFonts w:ascii="Times New Roman" w:hAnsi="Times New Roman" w:cs="Times New Roman"/>
                <w:color w:val="000000" w:themeColor="text1"/>
              </w:rPr>
            </w:pPr>
            <w:r w:rsidRPr="001514AA">
              <w:rPr>
                <w:rFonts w:ascii="Times New Roman" w:hAnsi="Times New Roman" w:cs="Times New Roman"/>
                <w:color w:val="000000"/>
                <w:lang w:val="it-IT" w:eastAsia="it-IT" w:bidi="bn-BD"/>
              </w:rPr>
              <w:t>2.21</w:t>
            </w:r>
          </w:p>
        </w:tc>
        <w:tc>
          <w:tcPr>
            <w:tcW w:w="2160" w:type="dxa"/>
            <w:hideMark/>
          </w:tcPr>
          <w:p w14:paraId="55E9D1BC" w14:textId="6A03C115" w:rsidR="004E53FA" w:rsidRPr="004E53FA" w:rsidRDefault="00DA72DD" w:rsidP="00DA72DD">
            <w:pPr>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0.04</w:t>
            </w:r>
          </w:p>
        </w:tc>
      </w:tr>
      <w:tr w:rsidR="004E53FA" w:rsidRPr="004E184C" w14:paraId="7CBEA68A" w14:textId="77777777" w:rsidTr="00DA72DD">
        <w:trPr>
          <w:trHeight w:val="317"/>
        </w:trPr>
        <w:tc>
          <w:tcPr>
            <w:tcW w:w="2520" w:type="dxa"/>
            <w:hideMark/>
          </w:tcPr>
          <w:p w14:paraId="116946C8" w14:textId="77777777" w:rsidR="004E53FA" w:rsidRPr="004E53FA" w:rsidRDefault="004E53FA" w:rsidP="00DA72DD">
            <w:pPr>
              <w:spacing w:line="240" w:lineRule="auto"/>
              <w:rPr>
                <w:rFonts w:ascii="Times New Roman" w:hAnsi="Times New Roman" w:cs="Times New Roman"/>
                <w:b/>
                <w:bCs/>
                <w:color w:val="000000" w:themeColor="text1"/>
              </w:rPr>
            </w:pPr>
            <w:r w:rsidRPr="004E53FA">
              <w:rPr>
                <w:rFonts w:ascii="Times New Roman" w:hAnsi="Times New Roman" w:cs="Times New Roman"/>
                <w:b/>
                <w:bCs/>
                <w:color w:val="000000" w:themeColor="text1"/>
              </w:rPr>
              <w:t>latency</w:t>
            </w:r>
          </w:p>
        </w:tc>
        <w:tc>
          <w:tcPr>
            <w:tcW w:w="2160" w:type="dxa"/>
            <w:hideMark/>
          </w:tcPr>
          <w:p w14:paraId="0ECD115E" w14:textId="16F3D5EF" w:rsidR="004E53FA" w:rsidRPr="00DA72DD" w:rsidRDefault="00DA72DD" w:rsidP="00DA72DD">
            <w:pPr>
              <w:spacing w:line="240" w:lineRule="auto"/>
              <w:jc w:val="right"/>
              <w:rPr>
                <w:rFonts w:ascii="Times New Roman" w:hAnsi="Times New Roman" w:cs="Times New Roman"/>
                <w:color w:val="000000"/>
                <w:lang w:val="it-IT" w:eastAsia="it-IT" w:bidi="bn-BD"/>
              </w:rPr>
            </w:pPr>
            <w:r>
              <w:rPr>
                <w:rFonts w:ascii="Times New Roman" w:hAnsi="Times New Roman" w:cs="Times New Roman"/>
                <w:color w:val="000000"/>
                <w:lang w:val="it-IT" w:eastAsia="it-IT" w:bidi="bn-BD"/>
              </w:rPr>
              <w:t xml:space="preserve">-0.00015 </w:t>
            </w:r>
            <w:r w:rsidR="004E53FA" w:rsidRPr="004E53FA">
              <w:rPr>
                <w:rFonts w:ascii="Times New Roman" w:hAnsi="Times New Roman" w:cs="Times New Roman"/>
                <w:color w:val="000000"/>
                <w:lang w:val="it-IT" w:eastAsia="it-IT" w:bidi="bn-BD"/>
              </w:rPr>
              <w:t>(</w:t>
            </w:r>
            <w:r w:rsidR="004E53FA" w:rsidRPr="001514AA">
              <w:rPr>
                <w:rFonts w:ascii="Times New Roman" w:hAnsi="Times New Roman" w:cs="Times New Roman"/>
                <w:color w:val="000000"/>
                <w:lang w:val="it-IT" w:eastAsia="it-IT" w:bidi="bn-BD"/>
              </w:rPr>
              <w:t>0.000157</w:t>
            </w:r>
            <w:r w:rsidR="004E53FA" w:rsidRPr="004E53FA">
              <w:rPr>
                <w:rFonts w:ascii="Times New Roman" w:hAnsi="Times New Roman" w:cs="Times New Roman"/>
                <w:color w:val="000000"/>
                <w:lang w:val="it-IT" w:eastAsia="it-IT" w:bidi="bn-BD"/>
              </w:rPr>
              <w:t>)</w:t>
            </w:r>
          </w:p>
        </w:tc>
        <w:tc>
          <w:tcPr>
            <w:tcW w:w="2160" w:type="dxa"/>
            <w:hideMark/>
          </w:tcPr>
          <w:p w14:paraId="6C200B27" w14:textId="7D2B61F6" w:rsidR="004E53FA" w:rsidRPr="004E53FA" w:rsidRDefault="004E53FA" w:rsidP="00DA72DD">
            <w:pPr>
              <w:spacing w:line="240" w:lineRule="auto"/>
              <w:jc w:val="right"/>
              <w:rPr>
                <w:rFonts w:ascii="Times New Roman" w:hAnsi="Times New Roman" w:cs="Times New Roman"/>
                <w:color w:val="000000" w:themeColor="text1"/>
              </w:rPr>
            </w:pPr>
            <w:r w:rsidRPr="001514AA">
              <w:rPr>
                <w:rFonts w:ascii="Times New Roman" w:hAnsi="Times New Roman" w:cs="Times New Roman"/>
                <w:color w:val="000000"/>
                <w:lang w:val="it-IT" w:eastAsia="it-IT" w:bidi="bn-BD"/>
              </w:rPr>
              <w:t>-0.93</w:t>
            </w:r>
          </w:p>
        </w:tc>
        <w:tc>
          <w:tcPr>
            <w:tcW w:w="2160" w:type="dxa"/>
            <w:hideMark/>
          </w:tcPr>
          <w:p w14:paraId="2458C65D" w14:textId="5528EBDF" w:rsidR="004E53FA" w:rsidRPr="004E53FA" w:rsidRDefault="00DA72DD" w:rsidP="00DA72DD">
            <w:pPr>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0.35</w:t>
            </w:r>
          </w:p>
        </w:tc>
      </w:tr>
      <w:tr w:rsidR="004E53FA" w:rsidRPr="004E184C" w14:paraId="63103D9B" w14:textId="77777777" w:rsidTr="00DA72DD">
        <w:trPr>
          <w:trHeight w:val="317"/>
        </w:trPr>
        <w:tc>
          <w:tcPr>
            <w:tcW w:w="2520" w:type="dxa"/>
            <w:hideMark/>
          </w:tcPr>
          <w:p w14:paraId="3907E449" w14:textId="09F0ECC4" w:rsidR="004E53FA" w:rsidRPr="004E53FA" w:rsidRDefault="004E53FA" w:rsidP="00DA72DD">
            <w:pPr>
              <w:spacing w:line="240" w:lineRule="auto"/>
              <w:rPr>
                <w:rFonts w:ascii="Times New Roman" w:hAnsi="Times New Roman" w:cs="Times New Roman"/>
                <w:b/>
                <w:bCs/>
                <w:color w:val="000000" w:themeColor="text1"/>
              </w:rPr>
            </w:pPr>
            <w:r w:rsidRPr="004E53FA">
              <w:rPr>
                <w:rFonts w:ascii="Times New Roman" w:hAnsi="Times New Roman" w:cs="Times New Roman"/>
                <w:b/>
                <w:bCs/>
                <w:color w:val="000000" w:themeColor="text1"/>
              </w:rPr>
              <w:t xml:space="preserve">detective </w:t>
            </w:r>
            <w:r w:rsidR="00425F35">
              <w:rPr>
                <w:rFonts w:ascii="Times New Roman" w:hAnsi="Times New Roman" w:cs="Times New Roman"/>
                <w:b/>
                <w:bCs/>
                <w:color w:val="000000" w:themeColor="text1"/>
              </w:rPr>
              <w:t>sentence duration</w:t>
            </w:r>
          </w:p>
        </w:tc>
        <w:tc>
          <w:tcPr>
            <w:tcW w:w="2160" w:type="dxa"/>
            <w:hideMark/>
          </w:tcPr>
          <w:p w14:paraId="7ECD8A93" w14:textId="2362F39D" w:rsidR="004E53FA" w:rsidRPr="00DA72DD" w:rsidRDefault="004E53FA" w:rsidP="00DA72DD">
            <w:pPr>
              <w:spacing w:line="240" w:lineRule="auto"/>
              <w:jc w:val="right"/>
              <w:rPr>
                <w:rFonts w:ascii="Times New Roman" w:hAnsi="Times New Roman" w:cs="Times New Roman"/>
                <w:color w:val="000000"/>
                <w:lang w:val="it-IT" w:eastAsia="it-IT" w:bidi="bn-BD"/>
              </w:rPr>
            </w:pPr>
            <w:r w:rsidRPr="001514AA">
              <w:rPr>
                <w:rFonts w:ascii="Times New Roman" w:hAnsi="Times New Roman" w:cs="Times New Roman"/>
                <w:color w:val="000000"/>
                <w:lang w:val="it-IT" w:eastAsia="it-IT" w:bidi="bn-BD"/>
              </w:rPr>
              <w:t>-0.00009</w:t>
            </w:r>
            <w:r w:rsidR="00DA72DD">
              <w:rPr>
                <w:rFonts w:ascii="Times New Roman" w:hAnsi="Times New Roman" w:cs="Times New Roman"/>
                <w:color w:val="000000"/>
                <w:lang w:val="it-IT" w:eastAsia="it-IT" w:bidi="bn-BD"/>
              </w:rPr>
              <w:t xml:space="preserve"> </w:t>
            </w:r>
            <w:r w:rsidRPr="004E53FA">
              <w:rPr>
                <w:rFonts w:ascii="Times New Roman" w:hAnsi="Times New Roman" w:cs="Times New Roman"/>
                <w:color w:val="000000"/>
                <w:lang w:val="it-IT" w:eastAsia="it-IT" w:bidi="bn-BD"/>
              </w:rPr>
              <w:t>(</w:t>
            </w:r>
            <w:r w:rsidRPr="001514AA">
              <w:rPr>
                <w:rFonts w:ascii="Times New Roman" w:hAnsi="Times New Roman" w:cs="Times New Roman"/>
                <w:color w:val="000000"/>
                <w:lang w:val="it-IT" w:eastAsia="it-IT" w:bidi="bn-BD"/>
              </w:rPr>
              <w:t>0.000162</w:t>
            </w:r>
            <w:r w:rsidRPr="004E53FA">
              <w:rPr>
                <w:rFonts w:ascii="Times New Roman" w:hAnsi="Times New Roman" w:cs="Times New Roman"/>
                <w:color w:val="000000"/>
                <w:lang w:val="it-IT" w:eastAsia="it-IT" w:bidi="bn-BD"/>
              </w:rPr>
              <w:t>)</w:t>
            </w:r>
          </w:p>
        </w:tc>
        <w:tc>
          <w:tcPr>
            <w:tcW w:w="2160" w:type="dxa"/>
            <w:hideMark/>
          </w:tcPr>
          <w:p w14:paraId="2E4A233D" w14:textId="3A9D78F3" w:rsidR="004E53FA" w:rsidRPr="004E53FA" w:rsidRDefault="004E53FA" w:rsidP="00DA72DD">
            <w:pPr>
              <w:spacing w:line="240" w:lineRule="auto"/>
              <w:jc w:val="right"/>
              <w:rPr>
                <w:rFonts w:ascii="Times New Roman" w:hAnsi="Times New Roman" w:cs="Times New Roman"/>
                <w:color w:val="000000" w:themeColor="text1"/>
              </w:rPr>
            </w:pPr>
            <w:r w:rsidRPr="001514AA">
              <w:rPr>
                <w:rFonts w:ascii="Times New Roman" w:hAnsi="Times New Roman" w:cs="Times New Roman"/>
                <w:color w:val="000000"/>
                <w:lang w:val="it-IT" w:eastAsia="it-IT" w:bidi="bn-BD"/>
              </w:rPr>
              <w:t>-0.58</w:t>
            </w:r>
          </w:p>
        </w:tc>
        <w:tc>
          <w:tcPr>
            <w:tcW w:w="2160" w:type="dxa"/>
            <w:hideMark/>
          </w:tcPr>
          <w:p w14:paraId="6D369C1F" w14:textId="4254811D" w:rsidR="004E53FA" w:rsidRPr="004E53FA" w:rsidRDefault="00DA72DD" w:rsidP="00DA72DD">
            <w:pPr>
              <w:spacing w:line="240" w:lineRule="auto"/>
              <w:jc w:val="right"/>
              <w:rPr>
                <w:rFonts w:ascii="Times New Roman" w:hAnsi="Times New Roman" w:cs="Times New Roman"/>
                <w:color w:val="000000" w:themeColor="text1"/>
              </w:rPr>
            </w:pPr>
            <w:r>
              <w:rPr>
                <w:rFonts w:ascii="Times New Roman" w:hAnsi="Times New Roman" w:cs="Times New Roman"/>
                <w:color w:val="000000"/>
                <w:lang w:val="it-IT" w:eastAsia="it-IT" w:bidi="bn-BD"/>
              </w:rPr>
              <w:t>0.56</w:t>
            </w:r>
          </w:p>
        </w:tc>
      </w:tr>
    </w:tbl>
    <w:p w14:paraId="3EE72B84" w14:textId="35F1A5EA" w:rsidR="008615B4" w:rsidRDefault="008615B4" w:rsidP="00AF7E81">
      <w:pPr>
        <w:ind w:firstLine="720"/>
      </w:pPr>
      <w:r>
        <w:t>* Subject continuation was a random slope by both participants</w:t>
      </w:r>
      <w:r w:rsidR="00081ADB">
        <w:t xml:space="preserve"> and items;</w:t>
      </w:r>
      <w:r>
        <w:t xml:space="preserve"> all other slopes estimated to be zero by the model</w:t>
      </w:r>
    </w:p>
    <w:p w14:paraId="466D2B4B" w14:textId="6B8FE51B" w:rsidR="00FF61B2" w:rsidRPr="00FF61B2" w:rsidRDefault="00FF61B2" w:rsidP="00BA3513">
      <w:pPr>
        <w:spacing w:line="240" w:lineRule="auto"/>
        <w:jc w:val="center"/>
      </w:pPr>
      <w:r>
        <w:br w:type="page"/>
      </w:r>
      <w:r>
        <w:lastRenderedPageBreak/>
        <w:t>N</w:t>
      </w:r>
      <w:r w:rsidR="00BA3513">
        <w:t>otes</w:t>
      </w:r>
    </w:p>
    <w:sectPr w:rsidR="00FF61B2" w:rsidRPr="00FF61B2" w:rsidSect="008615B4">
      <w:footerReference w:type="even" r:id="rId36"/>
      <w:footerReference w:type="default" r:id="rId37"/>
      <w:pgSz w:w="11901" w:h="16840" w:code="9"/>
      <w:pgMar w:top="1411" w:right="1440" w:bottom="141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D669" w14:textId="77777777" w:rsidR="00975DF7" w:rsidRDefault="00975DF7" w:rsidP="00AF2C92"/>
  </w:endnote>
  <w:endnote w:type="continuationSeparator" w:id="0">
    <w:p w14:paraId="025FDB51" w14:textId="77777777" w:rsidR="00975DF7" w:rsidRDefault="00975DF7" w:rsidP="00AF2C92">
      <w:r>
        <w:continuationSeparator/>
      </w:r>
    </w:p>
  </w:endnote>
  <w:endnote w:id="1">
    <w:p w14:paraId="7F310D55" w14:textId="77777777" w:rsidR="002D2F34" w:rsidRPr="00E5481E" w:rsidRDefault="002D2F34" w:rsidP="002D2F34">
      <w:pPr>
        <w:pStyle w:val="paragraph0"/>
        <w:spacing w:before="0" w:beforeAutospacing="0" w:after="0" w:afterAutospacing="0" w:line="480" w:lineRule="auto"/>
        <w:ind w:firstLine="720"/>
        <w:textAlignment w:val="baseline"/>
        <w:rPr>
          <w:sz w:val="22"/>
          <w:szCs w:val="22"/>
        </w:rPr>
      </w:pPr>
      <w:r w:rsidRPr="00E5481E">
        <w:rPr>
          <w:rStyle w:val="EndnoteReference"/>
          <w:sz w:val="22"/>
          <w:szCs w:val="22"/>
        </w:rPr>
        <w:endnoteRef/>
      </w:r>
      <w:r w:rsidRPr="00E5481E">
        <w:rPr>
          <w:sz w:val="22"/>
          <w:szCs w:val="22"/>
        </w:rPr>
        <w:t xml:space="preserve"> </w:t>
      </w:r>
      <w:r w:rsidRPr="00E5481E">
        <w:rPr>
          <w:rStyle w:val="normaltextrun"/>
          <w:sz w:val="22"/>
          <w:szCs w:val="22"/>
        </w:rPr>
        <w:t xml:space="preserve">Argentina (4), Chile (2), Colombia (1), Costa Rica (2), Dominican Republic (1), Ecuador (1), El Salvador (1),  Guatemala (2), Mexico (7), Panama (1), Peru (2), Puerto Rico (4), Spain (8), Uruguay (1), and Venezuela (6). </w:t>
      </w:r>
    </w:p>
  </w:endnote>
  <w:endnote w:id="2">
    <w:p w14:paraId="4066E782" w14:textId="37A21F11" w:rsidR="00241D15" w:rsidRPr="00E5481E" w:rsidRDefault="00241D15">
      <w:pPr>
        <w:pStyle w:val="EndnoteText"/>
        <w:rPr>
          <w:szCs w:val="22"/>
          <w:lang w:val="en-US"/>
        </w:rPr>
      </w:pPr>
      <w:r w:rsidRPr="00E5481E">
        <w:rPr>
          <w:rStyle w:val="EndnoteReference"/>
          <w:szCs w:val="22"/>
        </w:rPr>
        <w:endnoteRef/>
      </w:r>
      <w:r w:rsidRPr="00E5481E">
        <w:rPr>
          <w:szCs w:val="22"/>
        </w:rPr>
        <w:t xml:space="preserve"> If the speaker wishes to say “He likes it”, in Spanish the most natural translation is “Le gusta”, which takes a form more similar to “it pleases him”.</w:t>
      </w:r>
    </w:p>
  </w:endnote>
  <w:endnote w:id="3">
    <w:p w14:paraId="251EE0CC" w14:textId="0F45ACF3" w:rsidR="00241D15" w:rsidRPr="00342112" w:rsidRDefault="00241D15">
      <w:pPr>
        <w:pStyle w:val="EndnoteText"/>
        <w:rPr>
          <w:lang w:val="en-US"/>
        </w:rPr>
      </w:pPr>
      <w:r>
        <w:rPr>
          <w:rStyle w:val="EndnoteReference"/>
        </w:rPr>
        <w:endnoteRef/>
      </w:r>
      <w:r>
        <w:t xml:space="preserve"> </w:t>
      </w:r>
      <w:r>
        <w:rPr>
          <w:szCs w:val="22"/>
        </w:rPr>
        <w:t>Colombia/</w:t>
      </w:r>
      <w:r w:rsidRPr="00A75A9B">
        <w:rPr>
          <w:szCs w:val="22"/>
        </w:rPr>
        <w:t xml:space="preserve">Argentina (1), </w:t>
      </w:r>
      <w:r>
        <w:rPr>
          <w:rStyle w:val="normaltextrun"/>
          <w:szCs w:val="22"/>
        </w:rPr>
        <w:t xml:space="preserve">Colombia (2), Guatemala (1), </w:t>
      </w:r>
      <w:r w:rsidRPr="00A75A9B">
        <w:rPr>
          <w:rStyle w:val="normaltextrun"/>
          <w:szCs w:val="22"/>
        </w:rPr>
        <w:t>Mexico (13), Peru (1), Puerto Rico (5), and Venezuela (3)</w:t>
      </w:r>
    </w:p>
  </w:endnote>
  <w:endnote w:id="4">
    <w:p w14:paraId="25191CA1" w14:textId="1D6FB350" w:rsidR="00241D15" w:rsidRPr="00342112" w:rsidRDefault="00241D15">
      <w:pPr>
        <w:pStyle w:val="EndnoteText"/>
        <w:rPr>
          <w:lang w:val="en-US"/>
        </w:rPr>
      </w:pPr>
      <w:r>
        <w:rPr>
          <w:rStyle w:val="EndnoteReference"/>
        </w:rPr>
        <w:endnoteRef/>
      </w:r>
      <w:r>
        <w:t xml:space="preserve"> subject continuation; goal continuation, different gender, subject x goal; subject x different gender;</w:t>
      </w:r>
    </w:p>
  </w:endnote>
  <w:endnote w:id="5">
    <w:p w14:paraId="2991FEF5" w14:textId="55CDC4AF" w:rsidR="00241D15" w:rsidRPr="00E5481E" w:rsidRDefault="00241D15">
      <w:pPr>
        <w:pStyle w:val="EndnoteText"/>
        <w:rPr>
          <w:lang w:val="en-US"/>
        </w:rPr>
      </w:pPr>
      <w:r w:rsidRPr="00E5481E">
        <w:rPr>
          <w:rStyle w:val="EndnoteReference"/>
          <w:szCs w:val="22"/>
        </w:rPr>
        <w:endnoteRef/>
      </w:r>
      <w:r w:rsidRPr="00E5481E">
        <w:rPr>
          <w:szCs w:val="22"/>
        </w:rPr>
        <w:t xml:space="preserve"> </w:t>
      </w:r>
      <w:r w:rsidRPr="00E5481E">
        <w:rPr>
          <w:szCs w:val="22"/>
          <w:lang w:val="en-US"/>
        </w:rPr>
        <w:t>Detective latency was included as a random slope only by participants.</w:t>
      </w:r>
    </w:p>
  </w:endnote>
  <w:endnote w:id="6">
    <w:p w14:paraId="3513D2C8" w14:textId="7B5ED60F" w:rsidR="00241D15" w:rsidRPr="00342112" w:rsidRDefault="00241D15">
      <w:pPr>
        <w:pStyle w:val="EndnoteText"/>
        <w:rPr>
          <w:lang w:val="en-US"/>
        </w:rPr>
      </w:pPr>
      <w:r>
        <w:rPr>
          <w:rStyle w:val="EndnoteReference"/>
        </w:rPr>
        <w:endnoteRef/>
      </w:r>
      <w:r>
        <w:t xml:space="preserve"> </w:t>
      </w:r>
      <w:r>
        <w:rPr>
          <w:color w:val="000000" w:themeColor="text1"/>
        </w:rPr>
        <w:t>English speakers can also indicate reference by using an elliptical, or VP-coordination structure (</w:t>
      </w:r>
      <w:r w:rsidRPr="00B67A8B">
        <w:rPr>
          <w:i/>
          <w:color w:val="000000" w:themeColor="text1"/>
        </w:rPr>
        <w:t>Sir Barnes received a painting from Lady Mannerly…. And chucked it in the closet)</w:t>
      </w:r>
      <w:r>
        <w:rPr>
          <w:color w:val="000000" w:themeColor="text1"/>
        </w:rPr>
        <w:t xml:space="preserve">.  This is not the same as null pronoun use, but because it is achieved by syntactic coordination, it also is most heavily influenced by grammatical function (Zerkle &amp; Arnold, 2018).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934A" w14:textId="77777777" w:rsidR="00241D15" w:rsidRDefault="00241D15" w:rsidP="00500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92689" w14:textId="77777777" w:rsidR="00241D15" w:rsidRDefault="00241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5432" w14:textId="77777777" w:rsidR="00241D15" w:rsidRDefault="00241D15" w:rsidP="00500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DA8262" w14:textId="19E82594" w:rsidR="00241D15" w:rsidRDefault="00241D1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CE49" w14:textId="77777777" w:rsidR="00975DF7" w:rsidRDefault="00975DF7" w:rsidP="00AF2C92">
      <w:r>
        <w:separator/>
      </w:r>
    </w:p>
  </w:footnote>
  <w:footnote w:type="continuationSeparator" w:id="0">
    <w:p w14:paraId="60259293" w14:textId="77777777" w:rsidR="00975DF7" w:rsidRDefault="00975DF7"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5006"/>
    <w:multiLevelType w:val="hybridMultilevel"/>
    <w:tmpl w:val="5D3647CA"/>
    <w:lvl w:ilvl="0" w:tplc="65F85DD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C52E4"/>
    <w:multiLevelType w:val="hybridMultilevel"/>
    <w:tmpl w:val="1B32A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D0FD7"/>
    <w:multiLevelType w:val="multilevel"/>
    <w:tmpl w:val="DFA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72A8D"/>
    <w:multiLevelType w:val="multilevel"/>
    <w:tmpl w:val="501A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41342"/>
    <w:multiLevelType w:val="hybridMultilevel"/>
    <w:tmpl w:val="A6DE098C"/>
    <w:lvl w:ilvl="0" w:tplc="38A0B0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5E25F1"/>
    <w:multiLevelType w:val="hybridMultilevel"/>
    <w:tmpl w:val="73921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3A"/>
    <w:rsid w:val="0000036E"/>
    <w:rsid w:val="00000DC3"/>
    <w:rsid w:val="00001899"/>
    <w:rsid w:val="000041D6"/>
    <w:rsid w:val="000049AD"/>
    <w:rsid w:val="000133C0"/>
    <w:rsid w:val="00014C4E"/>
    <w:rsid w:val="00017107"/>
    <w:rsid w:val="000202E2"/>
    <w:rsid w:val="00021238"/>
    <w:rsid w:val="00022441"/>
    <w:rsid w:val="0002261E"/>
    <w:rsid w:val="00024839"/>
    <w:rsid w:val="0002626B"/>
    <w:rsid w:val="00026871"/>
    <w:rsid w:val="00034A04"/>
    <w:rsid w:val="00035970"/>
    <w:rsid w:val="00037A98"/>
    <w:rsid w:val="00037D16"/>
    <w:rsid w:val="00041E02"/>
    <w:rsid w:val="000427FB"/>
    <w:rsid w:val="0004455E"/>
    <w:rsid w:val="00046C8F"/>
    <w:rsid w:val="00047C95"/>
    <w:rsid w:val="00047CB5"/>
    <w:rsid w:val="00050370"/>
    <w:rsid w:val="000514E4"/>
    <w:rsid w:val="00051FAA"/>
    <w:rsid w:val="00052772"/>
    <w:rsid w:val="0005716D"/>
    <w:rsid w:val="000572A9"/>
    <w:rsid w:val="00060194"/>
    <w:rsid w:val="0006089C"/>
    <w:rsid w:val="00061325"/>
    <w:rsid w:val="000714D8"/>
    <w:rsid w:val="0007294C"/>
    <w:rsid w:val="000733AC"/>
    <w:rsid w:val="00074BCE"/>
    <w:rsid w:val="00074D22"/>
    <w:rsid w:val="00075081"/>
    <w:rsid w:val="0007528A"/>
    <w:rsid w:val="0008109D"/>
    <w:rsid w:val="000811AB"/>
    <w:rsid w:val="00081ADB"/>
    <w:rsid w:val="00082DA5"/>
    <w:rsid w:val="00083C5F"/>
    <w:rsid w:val="00084113"/>
    <w:rsid w:val="00084959"/>
    <w:rsid w:val="00087BF5"/>
    <w:rsid w:val="0009172C"/>
    <w:rsid w:val="00092169"/>
    <w:rsid w:val="0009276A"/>
    <w:rsid w:val="000930EC"/>
    <w:rsid w:val="00094AC9"/>
    <w:rsid w:val="00095E61"/>
    <w:rsid w:val="000966C1"/>
    <w:rsid w:val="000970AC"/>
    <w:rsid w:val="0009773D"/>
    <w:rsid w:val="000A1167"/>
    <w:rsid w:val="000A436C"/>
    <w:rsid w:val="000A4428"/>
    <w:rsid w:val="000A4A58"/>
    <w:rsid w:val="000A6D40"/>
    <w:rsid w:val="000A7BC3"/>
    <w:rsid w:val="000B120E"/>
    <w:rsid w:val="000B12A4"/>
    <w:rsid w:val="000B1661"/>
    <w:rsid w:val="000B2142"/>
    <w:rsid w:val="000B2E88"/>
    <w:rsid w:val="000B4603"/>
    <w:rsid w:val="000B54E4"/>
    <w:rsid w:val="000C09BE"/>
    <w:rsid w:val="000C1380"/>
    <w:rsid w:val="000C2259"/>
    <w:rsid w:val="000C2A52"/>
    <w:rsid w:val="000C3019"/>
    <w:rsid w:val="000C554F"/>
    <w:rsid w:val="000C6FDA"/>
    <w:rsid w:val="000C703D"/>
    <w:rsid w:val="000D0DC5"/>
    <w:rsid w:val="000D15FF"/>
    <w:rsid w:val="000D28DF"/>
    <w:rsid w:val="000D488B"/>
    <w:rsid w:val="000D68DF"/>
    <w:rsid w:val="000E138D"/>
    <w:rsid w:val="000E187A"/>
    <w:rsid w:val="000E2D61"/>
    <w:rsid w:val="000E450E"/>
    <w:rsid w:val="000E5CA6"/>
    <w:rsid w:val="000E6259"/>
    <w:rsid w:val="000E7007"/>
    <w:rsid w:val="000F18A1"/>
    <w:rsid w:val="000F26FB"/>
    <w:rsid w:val="000F4677"/>
    <w:rsid w:val="000F5BE0"/>
    <w:rsid w:val="00100587"/>
    <w:rsid w:val="00101ECC"/>
    <w:rsid w:val="00102822"/>
    <w:rsid w:val="0010284E"/>
    <w:rsid w:val="00103122"/>
    <w:rsid w:val="0010336A"/>
    <w:rsid w:val="00103674"/>
    <w:rsid w:val="001050F1"/>
    <w:rsid w:val="00105AEA"/>
    <w:rsid w:val="00106DAF"/>
    <w:rsid w:val="00107901"/>
    <w:rsid w:val="00114172"/>
    <w:rsid w:val="0011417B"/>
    <w:rsid w:val="0011580A"/>
    <w:rsid w:val="00116023"/>
    <w:rsid w:val="001227CC"/>
    <w:rsid w:val="00122A85"/>
    <w:rsid w:val="00123598"/>
    <w:rsid w:val="001306AB"/>
    <w:rsid w:val="00131EE2"/>
    <w:rsid w:val="001326F8"/>
    <w:rsid w:val="001338E7"/>
    <w:rsid w:val="00133939"/>
    <w:rsid w:val="00134A51"/>
    <w:rsid w:val="00135332"/>
    <w:rsid w:val="00137E0D"/>
    <w:rsid w:val="00140727"/>
    <w:rsid w:val="00140BD4"/>
    <w:rsid w:val="0014140B"/>
    <w:rsid w:val="001514AA"/>
    <w:rsid w:val="00151535"/>
    <w:rsid w:val="0015157A"/>
    <w:rsid w:val="00154790"/>
    <w:rsid w:val="00160628"/>
    <w:rsid w:val="00160871"/>
    <w:rsid w:val="00161344"/>
    <w:rsid w:val="00162195"/>
    <w:rsid w:val="0016322A"/>
    <w:rsid w:val="00165A21"/>
    <w:rsid w:val="001705CE"/>
    <w:rsid w:val="00170955"/>
    <w:rsid w:val="00173C4A"/>
    <w:rsid w:val="00175254"/>
    <w:rsid w:val="00176573"/>
    <w:rsid w:val="0017714B"/>
    <w:rsid w:val="001804DF"/>
    <w:rsid w:val="0018074E"/>
    <w:rsid w:val="00181BDC"/>
    <w:rsid w:val="00181DB0"/>
    <w:rsid w:val="001829E3"/>
    <w:rsid w:val="0018584C"/>
    <w:rsid w:val="00191B0A"/>
    <w:rsid w:val="00195607"/>
    <w:rsid w:val="0019731E"/>
    <w:rsid w:val="001A09FE"/>
    <w:rsid w:val="001A4A1B"/>
    <w:rsid w:val="001A67C9"/>
    <w:rsid w:val="001A69DE"/>
    <w:rsid w:val="001B1C7C"/>
    <w:rsid w:val="001B2BE0"/>
    <w:rsid w:val="001B398F"/>
    <w:rsid w:val="001B46C6"/>
    <w:rsid w:val="001B4B48"/>
    <w:rsid w:val="001B4D1F"/>
    <w:rsid w:val="001B7681"/>
    <w:rsid w:val="001B7CAE"/>
    <w:rsid w:val="001B7E02"/>
    <w:rsid w:val="001C004F"/>
    <w:rsid w:val="001C0772"/>
    <w:rsid w:val="001C0D4F"/>
    <w:rsid w:val="001C1DEC"/>
    <w:rsid w:val="001C5736"/>
    <w:rsid w:val="001C6487"/>
    <w:rsid w:val="001C7891"/>
    <w:rsid w:val="001D167E"/>
    <w:rsid w:val="001D4A2A"/>
    <w:rsid w:val="001D4A49"/>
    <w:rsid w:val="001D6888"/>
    <w:rsid w:val="001E0572"/>
    <w:rsid w:val="001E0A67"/>
    <w:rsid w:val="001E1028"/>
    <w:rsid w:val="001E14E2"/>
    <w:rsid w:val="001E37F1"/>
    <w:rsid w:val="001E51A1"/>
    <w:rsid w:val="001E5A4F"/>
    <w:rsid w:val="001E6302"/>
    <w:rsid w:val="001E7DCB"/>
    <w:rsid w:val="001F3411"/>
    <w:rsid w:val="001F4287"/>
    <w:rsid w:val="001F4DBA"/>
    <w:rsid w:val="00200B6F"/>
    <w:rsid w:val="00201197"/>
    <w:rsid w:val="00202394"/>
    <w:rsid w:val="002038EA"/>
    <w:rsid w:val="0020415E"/>
    <w:rsid w:val="00204FF4"/>
    <w:rsid w:val="0020522D"/>
    <w:rsid w:val="00205B11"/>
    <w:rsid w:val="0021056E"/>
    <w:rsid w:val="0021075D"/>
    <w:rsid w:val="0021165A"/>
    <w:rsid w:val="00211BC9"/>
    <w:rsid w:val="00211C21"/>
    <w:rsid w:val="00211E2D"/>
    <w:rsid w:val="00213D46"/>
    <w:rsid w:val="00214270"/>
    <w:rsid w:val="00215D9E"/>
    <w:rsid w:val="0021620C"/>
    <w:rsid w:val="00216E78"/>
    <w:rsid w:val="00217275"/>
    <w:rsid w:val="00223AC3"/>
    <w:rsid w:val="00230108"/>
    <w:rsid w:val="00231BB0"/>
    <w:rsid w:val="00233742"/>
    <w:rsid w:val="0023420E"/>
    <w:rsid w:val="00236F4B"/>
    <w:rsid w:val="00241BF2"/>
    <w:rsid w:val="00241C95"/>
    <w:rsid w:val="00241D15"/>
    <w:rsid w:val="00242B0D"/>
    <w:rsid w:val="00245DA2"/>
    <w:rsid w:val="002467C6"/>
    <w:rsid w:val="0024692A"/>
    <w:rsid w:val="00247D5C"/>
    <w:rsid w:val="002502C7"/>
    <w:rsid w:val="00252BBA"/>
    <w:rsid w:val="00253123"/>
    <w:rsid w:val="002539EB"/>
    <w:rsid w:val="002561CF"/>
    <w:rsid w:val="00256D8D"/>
    <w:rsid w:val="00263DD0"/>
    <w:rsid w:val="00264001"/>
    <w:rsid w:val="002641DE"/>
    <w:rsid w:val="00264804"/>
    <w:rsid w:val="00266354"/>
    <w:rsid w:val="00267A18"/>
    <w:rsid w:val="00267E02"/>
    <w:rsid w:val="00273462"/>
    <w:rsid w:val="0027395B"/>
    <w:rsid w:val="00275854"/>
    <w:rsid w:val="00281F2C"/>
    <w:rsid w:val="00282E6B"/>
    <w:rsid w:val="00283896"/>
    <w:rsid w:val="00283B41"/>
    <w:rsid w:val="00285F28"/>
    <w:rsid w:val="00286398"/>
    <w:rsid w:val="00292A7B"/>
    <w:rsid w:val="0029379E"/>
    <w:rsid w:val="002976C2"/>
    <w:rsid w:val="002A1CBF"/>
    <w:rsid w:val="002A3B41"/>
    <w:rsid w:val="002A3C42"/>
    <w:rsid w:val="002A5D75"/>
    <w:rsid w:val="002A6A5B"/>
    <w:rsid w:val="002A6B5D"/>
    <w:rsid w:val="002B1B1A"/>
    <w:rsid w:val="002B23B4"/>
    <w:rsid w:val="002B6C3B"/>
    <w:rsid w:val="002B7228"/>
    <w:rsid w:val="002C3CFF"/>
    <w:rsid w:val="002C3F2A"/>
    <w:rsid w:val="002C53EE"/>
    <w:rsid w:val="002C5AA6"/>
    <w:rsid w:val="002C63E5"/>
    <w:rsid w:val="002D115F"/>
    <w:rsid w:val="002D24F7"/>
    <w:rsid w:val="002D2799"/>
    <w:rsid w:val="002D2CD7"/>
    <w:rsid w:val="002D2F34"/>
    <w:rsid w:val="002D4DDC"/>
    <w:rsid w:val="002D4F75"/>
    <w:rsid w:val="002D5CAB"/>
    <w:rsid w:val="002D6493"/>
    <w:rsid w:val="002D7AB6"/>
    <w:rsid w:val="002E06D0"/>
    <w:rsid w:val="002E3C27"/>
    <w:rsid w:val="002E403A"/>
    <w:rsid w:val="002E5F38"/>
    <w:rsid w:val="002E7F3A"/>
    <w:rsid w:val="002F0863"/>
    <w:rsid w:val="002F3807"/>
    <w:rsid w:val="002F4EDB"/>
    <w:rsid w:val="002F6054"/>
    <w:rsid w:val="002F73BA"/>
    <w:rsid w:val="00300D65"/>
    <w:rsid w:val="00302436"/>
    <w:rsid w:val="00304EE1"/>
    <w:rsid w:val="003057EF"/>
    <w:rsid w:val="00305A30"/>
    <w:rsid w:val="00305F41"/>
    <w:rsid w:val="003074B9"/>
    <w:rsid w:val="003108AD"/>
    <w:rsid w:val="00311840"/>
    <w:rsid w:val="00312BB8"/>
    <w:rsid w:val="0031488B"/>
    <w:rsid w:val="00315713"/>
    <w:rsid w:val="003161CA"/>
    <w:rsid w:val="0031686C"/>
    <w:rsid w:val="00316FE0"/>
    <w:rsid w:val="003204D2"/>
    <w:rsid w:val="00320DFB"/>
    <w:rsid w:val="0032605E"/>
    <w:rsid w:val="00326477"/>
    <w:rsid w:val="003275D1"/>
    <w:rsid w:val="00330B2A"/>
    <w:rsid w:val="00331E17"/>
    <w:rsid w:val="00333063"/>
    <w:rsid w:val="00335C5D"/>
    <w:rsid w:val="00335DC0"/>
    <w:rsid w:val="003375DF"/>
    <w:rsid w:val="0034077A"/>
    <w:rsid w:val="003408E3"/>
    <w:rsid w:val="00340F6E"/>
    <w:rsid w:val="00342112"/>
    <w:rsid w:val="00343480"/>
    <w:rsid w:val="00343F34"/>
    <w:rsid w:val="00345E89"/>
    <w:rsid w:val="00346516"/>
    <w:rsid w:val="0035032F"/>
    <w:rsid w:val="003522A1"/>
    <w:rsid w:val="0035254B"/>
    <w:rsid w:val="00353555"/>
    <w:rsid w:val="0035444B"/>
    <w:rsid w:val="003561C1"/>
    <w:rsid w:val="0035620C"/>
    <w:rsid w:val="003565D4"/>
    <w:rsid w:val="003607FB"/>
    <w:rsid w:val="00360FD5"/>
    <w:rsid w:val="00361144"/>
    <w:rsid w:val="003634A5"/>
    <w:rsid w:val="003661C7"/>
    <w:rsid w:val="00366868"/>
    <w:rsid w:val="00367506"/>
    <w:rsid w:val="00370085"/>
    <w:rsid w:val="003741B1"/>
    <w:rsid w:val="003744A7"/>
    <w:rsid w:val="00376235"/>
    <w:rsid w:val="0037663D"/>
    <w:rsid w:val="00377E56"/>
    <w:rsid w:val="00381FB6"/>
    <w:rsid w:val="003836D3"/>
    <w:rsid w:val="00383A52"/>
    <w:rsid w:val="00383DB5"/>
    <w:rsid w:val="003848A6"/>
    <w:rsid w:val="00387BA9"/>
    <w:rsid w:val="003911E9"/>
    <w:rsid w:val="00391652"/>
    <w:rsid w:val="00392331"/>
    <w:rsid w:val="00394C05"/>
    <w:rsid w:val="0039507F"/>
    <w:rsid w:val="003973B9"/>
    <w:rsid w:val="003A10C2"/>
    <w:rsid w:val="003A1260"/>
    <w:rsid w:val="003A295F"/>
    <w:rsid w:val="003A2CE7"/>
    <w:rsid w:val="003A41DD"/>
    <w:rsid w:val="003A558E"/>
    <w:rsid w:val="003A5B96"/>
    <w:rsid w:val="003A7033"/>
    <w:rsid w:val="003B4339"/>
    <w:rsid w:val="003B47FE"/>
    <w:rsid w:val="003B5673"/>
    <w:rsid w:val="003B624C"/>
    <w:rsid w:val="003B62C9"/>
    <w:rsid w:val="003C10A6"/>
    <w:rsid w:val="003C1803"/>
    <w:rsid w:val="003C1816"/>
    <w:rsid w:val="003C7176"/>
    <w:rsid w:val="003C7A7E"/>
    <w:rsid w:val="003D048F"/>
    <w:rsid w:val="003D0929"/>
    <w:rsid w:val="003D156E"/>
    <w:rsid w:val="003D2513"/>
    <w:rsid w:val="003D3A4C"/>
    <w:rsid w:val="003D4729"/>
    <w:rsid w:val="003D4D9D"/>
    <w:rsid w:val="003D5E70"/>
    <w:rsid w:val="003D7DD6"/>
    <w:rsid w:val="003E17EC"/>
    <w:rsid w:val="003E5AAF"/>
    <w:rsid w:val="003E600D"/>
    <w:rsid w:val="003E64DF"/>
    <w:rsid w:val="003E6A5D"/>
    <w:rsid w:val="003F193A"/>
    <w:rsid w:val="003F4207"/>
    <w:rsid w:val="003F5BE8"/>
    <w:rsid w:val="003F5C46"/>
    <w:rsid w:val="003F5C9B"/>
    <w:rsid w:val="003F656D"/>
    <w:rsid w:val="003F7CBB"/>
    <w:rsid w:val="003F7D34"/>
    <w:rsid w:val="00402AC9"/>
    <w:rsid w:val="00404B38"/>
    <w:rsid w:val="00410DD1"/>
    <w:rsid w:val="004115AC"/>
    <w:rsid w:val="00412C8E"/>
    <w:rsid w:val="004147BD"/>
    <w:rsid w:val="0041518D"/>
    <w:rsid w:val="00420199"/>
    <w:rsid w:val="004210CE"/>
    <w:rsid w:val="0042221D"/>
    <w:rsid w:val="00424DD3"/>
    <w:rsid w:val="00425F35"/>
    <w:rsid w:val="004269C5"/>
    <w:rsid w:val="00432EB5"/>
    <w:rsid w:val="00435017"/>
    <w:rsid w:val="00435939"/>
    <w:rsid w:val="00437CC7"/>
    <w:rsid w:val="00442B9C"/>
    <w:rsid w:val="00444539"/>
    <w:rsid w:val="00445697"/>
    <w:rsid w:val="0044738A"/>
    <w:rsid w:val="004473D3"/>
    <w:rsid w:val="00447EF6"/>
    <w:rsid w:val="00451C0C"/>
    <w:rsid w:val="00452231"/>
    <w:rsid w:val="00454DB7"/>
    <w:rsid w:val="004574B8"/>
    <w:rsid w:val="00460C13"/>
    <w:rsid w:val="00460F84"/>
    <w:rsid w:val="004613BD"/>
    <w:rsid w:val="0046309B"/>
    <w:rsid w:val="00463228"/>
    <w:rsid w:val="00463782"/>
    <w:rsid w:val="004650A4"/>
    <w:rsid w:val="004667E0"/>
    <w:rsid w:val="0046760E"/>
    <w:rsid w:val="00467667"/>
    <w:rsid w:val="00470244"/>
    <w:rsid w:val="00470C65"/>
    <w:rsid w:val="00470E10"/>
    <w:rsid w:val="00473368"/>
    <w:rsid w:val="00477A97"/>
    <w:rsid w:val="00477BC7"/>
    <w:rsid w:val="00481343"/>
    <w:rsid w:val="00482E17"/>
    <w:rsid w:val="00483796"/>
    <w:rsid w:val="0048549E"/>
    <w:rsid w:val="0049152A"/>
    <w:rsid w:val="00493347"/>
    <w:rsid w:val="00496092"/>
    <w:rsid w:val="004A08DB"/>
    <w:rsid w:val="004A10EE"/>
    <w:rsid w:val="004A25D0"/>
    <w:rsid w:val="004A37E8"/>
    <w:rsid w:val="004A3A80"/>
    <w:rsid w:val="004A40A7"/>
    <w:rsid w:val="004A615B"/>
    <w:rsid w:val="004A6E36"/>
    <w:rsid w:val="004A731C"/>
    <w:rsid w:val="004A7549"/>
    <w:rsid w:val="004B07DE"/>
    <w:rsid w:val="004B09D4"/>
    <w:rsid w:val="004B2694"/>
    <w:rsid w:val="004B27D4"/>
    <w:rsid w:val="004B2BDB"/>
    <w:rsid w:val="004B330A"/>
    <w:rsid w:val="004B6293"/>
    <w:rsid w:val="004B67B3"/>
    <w:rsid w:val="004B7057"/>
    <w:rsid w:val="004B7C8E"/>
    <w:rsid w:val="004B7E3E"/>
    <w:rsid w:val="004B7E6C"/>
    <w:rsid w:val="004C319B"/>
    <w:rsid w:val="004C3348"/>
    <w:rsid w:val="004C5965"/>
    <w:rsid w:val="004C6AF3"/>
    <w:rsid w:val="004D0DF6"/>
    <w:rsid w:val="004D0E28"/>
    <w:rsid w:val="004D0EDC"/>
    <w:rsid w:val="004D1220"/>
    <w:rsid w:val="004D14B3"/>
    <w:rsid w:val="004D1529"/>
    <w:rsid w:val="004D2253"/>
    <w:rsid w:val="004D37FD"/>
    <w:rsid w:val="004D4431"/>
    <w:rsid w:val="004D5514"/>
    <w:rsid w:val="004D56C3"/>
    <w:rsid w:val="004D58BC"/>
    <w:rsid w:val="004E0338"/>
    <w:rsid w:val="004E184C"/>
    <w:rsid w:val="004E32BB"/>
    <w:rsid w:val="004E4FF3"/>
    <w:rsid w:val="004E53FA"/>
    <w:rsid w:val="004E56A8"/>
    <w:rsid w:val="004E5AF8"/>
    <w:rsid w:val="004F071B"/>
    <w:rsid w:val="004F3B55"/>
    <w:rsid w:val="004F4620"/>
    <w:rsid w:val="004F4E46"/>
    <w:rsid w:val="004F6B7D"/>
    <w:rsid w:val="005003B6"/>
    <w:rsid w:val="00500E73"/>
    <w:rsid w:val="00500EEE"/>
    <w:rsid w:val="005015F6"/>
    <w:rsid w:val="00502049"/>
    <w:rsid w:val="0050269E"/>
    <w:rsid w:val="005030C4"/>
    <w:rsid w:val="005031C5"/>
    <w:rsid w:val="00503D85"/>
    <w:rsid w:val="00504FDC"/>
    <w:rsid w:val="00506AD9"/>
    <w:rsid w:val="00510C9E"/>
    <w:rsid w:val="005120CC"/>
    <w:rsid w:val="00512B7B"/>
    <w:rsid w:val="00512F3E"/>
    <w:rsid w:val="00514EA1"/>
    <w:rsid w:val="00516AAB"/>
    <w:rsid w:val="0051798B"/>
    <w:rsid w:val="00521F5A"/>
    <w:rsid w:val="00525E06"/>
    <w:rsid w:val="00526454"/>
    <w:rsid w:val="005265B0"/>
    <w:rsid w:val="00531823"/>
    <w:rsid w:val="00532A6E"/>
    <w:rsid w:val="00532A6F"/>
    <w:rsid w:val="00534ECC"/>
    <w:rsid w:val="0053720D"/>
    <w:rsid w:val="00540EF5"/>
    <w:rsid w:val="00541BF3"/>
    <w:rsid w:val="00541CD3"/>
    <w:rsid w:val="00543D40"/>
    <w:rsid w:val="0054414B"/>
    <w:rsid w:val="005476FA"/>
    <w:rsid w:val="0054796B"/>
    <w:rsid w:val="0055595E"/>
    <w:rsid w:val="005571D6"/>
    <w:rsid w:val="00557988"/>
    <w:rsid w:val="005608A4"/>
    <w:rsid w:val="00561815"/>
    <w:rsid w:val="00561936"/>
    <w:rsid w:val="00562C49"/>
    <w:rsid w:val="00562DEF"/>
    <w:rsid w:val="00562FEB"/>
    <w:rsid w:val="005634CE"/>
    <w:rsid w:val="005634EB"/>
    <w:rsid w:val="00563A35"/>
    <w:rsid w:val="00566596"/>
    <w:rsid w:val="005701FE"/>
    <w:rsid w:val="0057087E"/>
    <w:rsid w:val="005741E9"/>
    <w:rsid w:val="00574502"/>
    <w:rsid w:val="005748CF"/>
    <w:rsid w:val="00575994"/>
    <w:rsid w:val="00575F93"/>
    <w:rsid w:val="0057683A"/>
    <w:rsid w:val="00576B45"/>
    <w:rsid w:val="00582BE8"/>
    <w:rsid w:val="00584270"/>
    <w:rsid w:val="00584738"/>
    <w:rsid w:val="00585661"/>
    <w:rsid w:val="00585C29"/>
    <w:rsid w:val="0058777D"/>
    <w:rsid w:val="005906AC"/>
    <w:rsid w:val="005920B0"/>
    <w:rsid w:val="00592D7D"/>
    <w:rsid w:val="00593390"/>
    <w:rsid w:val="0059380D"/>
    <w:rsid w:val="00595844"/>
    <w:rsid w:val="00595A8F"/>
    <w:rsid w:val="00597BF2"/>
    <w:rsid w:val="005A033B"/>
    <w:rsid w:val="005A19D2"/>
    <w:rsid w:val="005A470A"/>
    <w:rsid w:val="005A62C9"/>
    <w:rsid w:val="005B134E"/>
    <w:rsid w:val="005B1F7A"/>
    <w:rsid w:val="005B2039"/>
    <w:rsid w:val="005B27DB"/>
    <w:rsid w:val="005B344F"/>
    <w:rsid w:val="005B3FBA"/>
    <w:rsid w:val="005B4068"/>
    <w:rsid w:val="005B4A1D"/>
    <w:rsid w:val="005B674D"/>
    <w:rsid w:val="005B7FDE"/>
    <w:rsid w:val="005C0CBE"/>
    <w:rsid w:val="005C1FCF"/>
    <w:rsid w:val="005C5811"/>
    <w:rsid w:val="005C671A"/>
    <w:rsid w:val="005D1885"/>
    <w:rsid w:val="005D3571"/>
    <w:rsid w:val="005D4A38"/>
    <w:rsid w:val="005D79E8"/>
    <w:rsid w:val="005E0871"/>
    <w:rsid w:val="005E2EEA"/>
    <w:rsid w:val="005E3708"/>
    <w:rsid w:val="005E3825"/>
    <w:rsid w:val="005E3CCD"/>
    <w:rsid w:val="005E3D6B"/>
    <w:rsid w:val="005E5E4A"/>
    <w:rsid w:val="005E693D"/>
    <w:rsid w:val="005E75BF"/>
    <w:rsid w:val="005F195D"/>
    <w:rsid w:val="005F2D22"/>
    <w:rsid w:val="005F3815"/>
    <w:rsid w:val="005F57BA"/>
    <w:rsid w:val="005F61E6"/>
    <w:rsid w:val="005F6C45"/>
    <w:rsid w:val="00601809"/>
    <w:rsid w:val="00602169"/>
    <w:rsid w:val="00605A69"/>
    <w:rsid w:val="00606C54"/>
    <w:rsid w:val="00614375"/>
    <w:rsid w:val="00615B0A"/>
    <w:rsid w:val="006168CF"/>
    <w:rsid w:val="00616AC1"/>
    <w:rsid w:val="0062011B"/>
    <w:rsid w:val="00626915"/>
    <w:rsid w:val="00626DE0"/>
    <w:rsid w:val="00630901"/>
    <w:rsid w:val="00631F8E"/>
    <w:rsid w:val="00635635"/>
    <w:rsid w:val="006362D3"/>
    <w:rsid w:val="00636EE9"/>
    <w:rsid w:val="006401C1"/>
    <w:rsid w:val="00640950"/>
    <w:rsid w:val="00641AE7"/>
    <w:rsid w:val="00642629"/>
    <w:rsid w:val="00642C1D"/>
    <w:rsid w:val="006510CF"/>
    <w:rsid w:val="00652225"/>
    <w:rsid w:val="0065293D"/>
    <w:rsid w:val="00652CD9"/>
    <w:rsid w:val="00653EFC"/>
    <w:rsid w:val="00654021"/>
    <w:rsid w:val="00655027"/>
    <w:rsid w:val="006553DF"/>
    <w:rsid w:val="00655D1D"/>
    <w:rsid w:val="00656EA0"/>
    <w:rsid w:val="00660E86"/>
    <w:rsid w:val="00661045"/>
    <w:rsid w:val="00661B67"/>
    <w:rsid w:val="006632D9"/>
    <w:rsid w:val="00666DA8"/>
    <w:rsid w:val="00671057"/>
    <w:rsid w:val="006712C1"/>
    <w:rsid w:val="00672E28"/>
    <w:rsid w:val="00675AAF"/>
    <w:rsid w:val="00676DF7"/>
    <w:rsid w:val="00677E96"/>
    <w:rsid w:val="0068031A"/>
    <w:rsid w:val="00681B2F"/>
    <w:rsid w:val="00681EF4"/>
    <w:rsid w:val="0068335F"/>
    <w:rsid w:val="00693302"/>
    <w:rsid w:val="0069640B"/>
    <w:rsid w:val="006A01A4"/>
    <w:rsid w:val="006A1B83"/>
    <w:rsid w:val="006A21AE"/>
    <w:rsid w:val="006A21CD"/>
    <w:rsid w:val="006A2B0A"/>
    <w:rsid w:val="006A2EDA"/>
    <w:rsid w:val="006A5918"/>
    <w:rsid w:val="006A6045"/>
    <w:rsid w:val="006A7FEE"/>
    <w:rsid w:val="006B1092"/>
    <w:rsid w:val="006B1427"/>
    <w:rsid w:val="006B21B2"/>
    <w:rsid w:val="006B4A4A"/>
    <w:rsid w:val="006B5E63"/>
    <w:rsid w:val="006B638A"/>
    <w:rsid w:val="006C19B2"/>
    <w:rsid w:val="006C2950"/>
    <w:rsid w:val="006C321D"/>
    <w:rsid w:val="006C5BB8"/>
    <w:rsid w:val="006C6936"/>
    <w:rsid w:val="006C7379"/>
    <w:rsid w:val="006C7B01"/>
    <w:rsid w:val="006D0FE8"/>
    <w:rsid w:val="006D4B2B"/>
    <w:rsid w:val="006D4F3C"/>
    <w:rsid w:val="006D5C66"/>
    <w:rsid w:val="006D73FC"/>
    <w:rsid w:val="006E0247"/>
    <w:rsid w:val="006E1B3C"/>
    <w:rsid w:val="006E23FB"/>
    <w:rsid w:val="006E325A"/>
    <w:rsid w:val="006E33EC"/>
    <w:rsid w:val="006E3802"/>
    <w:rsid w:val="006E4E9F"/>
    <w:rsid w:val="006E54E9"/>
    <w:rsid w:val="006E6C02"/>
    <w:rsid w:val="006E7EBF"/>
    <w:rsid w:val="006F0F91"/>
    <w:rsid w:val="006F1020"/>
    <w:rsid w:val="006F231A"/>
    <w:rsid w:val="006F788D"/>
    <w:rsid w:val="006F78E1"/>
    <w:rsid w:val="00700F40"/>
    <w:rsid w:val="00701072"/>
    <w:rsid w:val="00702054"/>
    <w:rsid w:val="007035A4"/>
    <w:rsid w:val="00704A4A"/>
    <w:rsid w:val="00705C7D"/>
    <w:rsid w:val="007061CB"/>
    <w:rsid w:val="00706461"/>
    <w:rsid w:val="00707280"/>
    <w:rsid w:val="007072E1"/>
    <w:rsid w:val="00707CD2"/>
    <w:rsid w:val="00711799"/>
    <w:rsid w:val="00712B78"/>
    <w:rsid w:val="00713906"/>
    <w:rsid w:val="0071393B"/>
    <w:rsid w:val="00713EE2"/>
    <w:rsid w:val="00715F73"/>
    <w:rsid w:val="007177FC"/>
    <w:rsid w:val="00720C5E"/>
    <w:rsid w:val="00721701"/>
    <w:rsid w:val="00722933"/>
    <w:rsid w:val="00723E39"/>
    <w:rsid w:val="00726992"/>
    <w:rsid w:val="0072715A"/>
    <w:rsid w:val="00727881"/>
    <w:rsid w:val="0073106E"/>
    <w:rsid w:val="00731835"/>
    <w:rsid w:val="007341F8"/>
    <w:rsid w:val="00734372"/>
    <w:rsid w:val="00734EB8"/>
    <w:rsid w:val="00735527"/>
    <w:rsid w:val="00735F8B"/>
    <w:rsid w:val="00736D8E"/>
    <w:rsid w:val="00740299"/>
    <w:rsid w:val="007406C8"/>
    <w:rsid w:val="00741588"/>
    <w:rsid w:val="00741EF9"/>
    <w:rsid w:val="0074283F"/>
    <w:rsid w:val="00742D1F"/>
    <w:rsid w:val="00743EBA"/>
    <w:rsid w:val="00744C8E"/>
    <w:rsid w:val="0074707E"/>
    <w:rsid w:val="007516DC"/>
    <w:rsid w:val="00753737"/>
    <w:rsid w:val="00753C98"/>
    <w:rsid w:val="00753F29"/>
    <w:rsid w:val="00754B80"/>
    <w:rsid w:val="00761918"/>
    <w:rsid w:val="00762BD1"/>
    <w:rsid w:val="00762F03"/>
    <w:rsid w:val="0076413B"/>
    <w:rsid w:val="007648AE"/>
    <w:rsid w:val="00764BF8"/>
    <w:rsid w:val="0076514D"/>
    <w:rsid w:val="00773D59"/>
    <w:rsid w:val="00777ED9"/>
    <w:rsid w:val="007809D6"/>
    <w:rsid w:val="00781003"/>
    <w:rsid w:val="007839F5"/>
    <w:rsid w:val="00790B81"/>
    <w:rsid w:val="007911FD"/>
    <w:rsid w:val="007920E5"/>
    <w:rsid w:val="00793930"/>
    <w:rsid w:val="00793DD1"/>
    <w:rsid w:val="00794A1A"/>
    <w:rsid w:val="00794FEC"/>
    <w:rsid w:val="0079549D"/>
    <w:rsid w:val="007A003E"/>
    <w:rsid w:val="007A1134"/>
    <w:rsid w:val="007A1965"/>
    <w:rsid w:val="007A25BB"/>
    <w:rsid w:val="007A2ED1"/>
    <w:rsid w:val="007A2FF8"/>
    <w:rsid w:val="007A4BE6"/>
    <w:rsid w:val="007B085D"/>
    <w:rsid w:val="007B0DC6"/>
    <w:rsid w:val="007B1094"/>
    <w:rsid w:val="007B1762"/>
    <w:rsid w:val="007B3320"/>
    <w:rsid w:val="007B4199"/>
    <w:rsid w:val="007B4EC7"/>
    <w:rsid w:val="007B77CF"/>
    <w:rsid w:val="007C02E8"/>
    <w:rsid w:val="007C1C89"/>
    <w:rsid w:val="007C301F"/>
    <w:rsid w:val="007C4540"/>
    <w:rsid w:val="007C4BE7"/>
    <w:rsid w:val="007C65AF"/>
    <w:rsid w:val="007C7A54"/>
    <w:rsid w:val="007D135D"/>
    <w:rsid w:val="007D703E"/>
    <w:rsid w:val="007D730F"/>
    <w:rsid w:val="007D7CD8"/>
    <w:rsid w:val="007E3506"/>
    <w:rsid w:val="007E3AA7"/>
    <w:rsid w:val="007E4637"/>
    <w:rsid w:val="007E51A1"/>
    <w:rsid w:val="007F12B0"/>
    <w:rsid w:val="007F1987"/>
    <w:rsid w:val="007F249D"/>
    <w:rsid w:val="007F294E"/>
    <w:rsid w:val="007F3E1B"/>
    <w:rsid w:val="007F737D"/>
    <w:rsid w:val="008023D1"/>
    <w:rsid w:val="00802DDB"/>
    <w:rsid w:val="00802FE4"/>
    <w:rsid w:val="0080308E"/>
    <w:rsid w:val="008057FD"/>
    <w:rsid w:val="00806705"/>
    <w:rsid w:val="00806738"/>
    <w:rsid w:val="008116ED"/>
    <w:rsid w:val="00811AA8"/>
    <w:rsid w:val="00813DF3"/>
    <w:rsid w:val="00816423"/>
    <w:rsid w:val="00821096"/>
    <w:rsid w:val="008216D5"/>
    <w:rsid w:val="008249CE"/>
    <w:rsid w:val="00824D21"/>
    <w:rsid w:val="00825677"/>
    <w:rsid w:val="00831409"/>
    <w:rsid w:val="00831A50"/>
    <w:rsid w:val="00831B3C"/>
    <w:rsid w:val="00831C89"/>
    <w:rsid w:val="00832114"/>
    <w:rsid w:val="00834C46"/>
    <w:rsid w:val="00834E9E"/>
    <w:rsid w:val="0084093E"/>
    <w:rsid w:val="00841CE1"/>
    <w:rsid w:val="00844107"/>
    <w:rsid w:val="008452FC"/>
    <w:rsid w:val="008473D8"/>
    <w:rsid w:val="008528DC"/>
    <w:rsid w:val="00852B8C"/>
    <w:rsid w:val="00854981"/>
    <w:rsid w:val="00854C2A"/>
    <w:rsid w:val="00855E51"/>
    <w:rsid w:val="008609DD"/>
    <w:rsid w:val="008615B4"/>
    <w:rsid w:val="00864B2E"/>
    <w:rsid w:val="008651D5"/>
    <w:rsid w:val="00865963"/>
    <w:rsid w:val="008707A1"/>
    <w:rsid w:val="0087450E"/>
    <w:rsid w:val="00875A82"/>
    <w:rsid w:val="00876CA3"/>
    <w:rsid w:val="008772FE"/>
    <w:rsid w:val="008774B1"/>
    <w:rsid w:val="008775F1"/>
    <w:rsid w:val="0088023C"/>
    <w:rsid w:val="008821AE"/>
    <w:rsid w:val="00882B07"/>
    <w:rsid w:val="008832DA"/>
    <w:rsid w:val="00883D3A"/>
    <w:rsid w:val="008844D9"/>
    <w:rsid w:val="008852D8"/>
    <w:rsid w:val="008854F7"/>
    <w:rsid w:val="00885A9D"/>
    <w:rsid w:val="00886445"/>
    <w:rsid w:val="00887BF1"/>
    <w:rsid w:val="008907FD"/>
    <w:rsid w:val="00890F61"/>
    <w:rsid w:val="00891252"/>
    <w:rsid w:val="008929D2"/>
    <w:rsid w:val="00893636"/>
    <w:rsid w:val="00893B94"/>
    <w:rsid w:val="00894F26"/>
    <w:rsid w:val="00896E57"/>
    <w:rsid w:val="00896E9D"/>
    <w:rsid w:val="00896F11"/>
    <w:rsid w:val="008A0C11"/>
    <w:rsid w:val="008A1049"/>
    <w:rsid w:val="008A1C98"/>
    <w:rsid w:val="008A322D"/>
    <w:rsid w:val="008A4D72"/>
    <w:rsid w:val="008A6285"/>
    <w:rsid w:val="008A63B2"/>
    <w:rsid w:val="008A69AB"/>
    <w:rsid w:val="008A6B63"/>
    <w:rsid w:val="008A6D74"/>
    <w:rsid w:val="008B2F04"/>
    <w:rsid w:val="008B345D"/>
    <w:rsid w:val="008B4C2B"/>
    <w:rsid w:val="008B5AA5"/>
    <w:rsid w:val="008B6991"/>
    <w:rsid w:val="008C1FC2"/>
    <w:rsid w:val="008C285E"/>
    <w:rsid w:val="008C2980"/>
    <w:rsid w:val="008C3F5A"/>
    <w:rsid w:val="008C4FB6"/>
    <w:rsid w:val="008C5850"/>
    <w:rsid w:val="008C5A9C"/>
    <w:rsid w:val="008C5AFB"/>
    <w:rsid w:val="008D07FB"/>
    <w:rsid w:val="008D088C"/>
    <w:rsid w:val="008D0C02"/>
    <w:rsid w:val="008D357D"/>
    <w:rsid w:val="008D6CB8"/>
    <w:rsid w:val="008E20B1"/>
    <w:rsid w:val="008E387B"/>
    <w:rsid w:val="008E50E0"/>
    <w:rsid w:val="008E6087"/>
    <w:rsid w:val="008E758D"/>
    <w:rsid w:val="008F10A7"/>
    <w:rsid w:val="008F6157"/>
    <w:rsid w:val="008F755D"/>
    <w:rsid w:val="008F7660"/>
    <w:rsid w:val="008F7A39"/>
    <w:rsid w:val="009021E8"/>
    <w:rsid w:val="00902CB6"/>
    <w:rsid w:val="00911440"/>
    <w:rsid w:val="0091170D"/>
    <w:rsid w:val="00911712"/>
    <w:rsid w:val="00911B27"/>
    <w:rsid w:val="00913921"/>
    <w:rsid w:val="009170BE"/>
    <w:rsid w:val="00920B55"/>
    <w:rsid w:val="00920DC4"/>
    <w:rsid w:val="009262C9"/>
    <w:rsid w:val="00930EB9"/>
    <w:rsid w:val="00933422"/>
    <w:rsid w:val="00933DC7"/>
    <w:rsid w:val="00934C9A"/>
    <w:rsid w:val="00936700"/>
    <w:rsid w:val="009418F4"/>
    <w:rsid w:val="00942BBC"/>
    <w:rsid w:val="00943FD0"/>
    <w:rsid w:val="00944180"/>
    <w:rsid w:val="00944AA0"/>
    <w:rsid w:val="00945097"/>
    <w:rsid w:val="00947D31"/>
    <w:rsid w:val="00947DA2"/>
    <w:rsid w:val="00951177"/>
    <w:rsid w:val="00951D3B"/>
    <w:rsid w:val="00954949"/>
    <w:rsid w:val="00957450"/>
    <w:rsid w:val="00961089"/>
    <w:rsid w:val="00961D78"/>
    <w:rsid w:val="009644B6"/>
    <w:rsid w:val="00966391"/>
    <w:rsid w:val="009673E8"/>
    <w:rsid w:val="00974DB8"/>
    <w:rsid w:val="00975A75"/>
    <w:rsid w:val="00975DF7"/>
    <w:rsid w:val="00980661"/>
    <w:rsid w:val="0098093B"/>
    <w:rsid w:val="00982D62"/>
    <w:rsid w:val="00986500"/>
    <w:rsid w:val="00987319"/>
    <w:rsid w:val="009876D4"/>
    <w:rsid w:val="00987F7C"/>
    <w:rsid w:val="0099132D"/>
    <w:rsid w:val="009914A5"/>
    <w:rsid w:val="009927C3"/>
    <w:rsid w:val="00994FAC"/>
    <w:rsid w:val="00995238"/>
    <w:rsid w:val="0099548E"/>
    <w:rsid w:val="00996456"/>
    <w:rsid w:val="00996A12"/>
    <w:rsid w:val="00997441"/>
    <w:rsid w:val="00997B0F"/>
    <w:rsid w:val="009A1CAD"/>
    <w:rsid w:val="009A3440"/>
    <w:rsid w:val="009A460A"/>
    <w:rsid w:val="009A4926"/>
    <w:rsid w:val="009A5832"/>
    <w:rsid w:val="009A6838"/>
    <w:rsid w:val="009A7B01"/>
    <w:rsid w:val="009B0702"/>
    <w:rsid w:val="009B24B5"/>
    <w:rsid w:val="009B361F"/>
    <w:rsid w:val="009B4EBC"/>
    <w:rsid w:val="009B5ABB"/>
    <w:rsid w:val="009B73CE"/>
    <w:rsid w:val="009C1006"/>
    <w:rsid w:val="009C1BA4"/>
    <w:rsid w:val="009C2461"/>
    <w:rsid w:val="009C2861"/>
    <w:rsid w:val="009C5680"/>
    <w:rsid w:val="009C6558"/>
    <w:rsid w:val="009C6BEE"/>
    <w:rsid w:val="009C6FE2"/>
    <w:rsid w:val="009C7674"/>
    <w:rsid w:val="009D004A"/>
    <w:rsid w:val="009D0DA1"/>
    <w:rsid w:val="009D3403"/>
    <w:rsid w:val="009D5880"/>
    <w:rsid w:val="009D5FEA"/>
    <w:rsid w:val="009D61A7"/>
    <w:rsid w:val="009E2B89"/>
    <w:rsid w:val="009E39B4"/>
    <w:rsid w:val="009E3B07"/>
    <w:rsid w:val="009E3FB3"/>
    <w:rsid w:val="009E42DE"/>
    <w:rsid w:val="009E51D1"/>
    <w:rsid w:val="009E5531"/>
    <w:rsid w:val="009F1454"/>
    <w:rsid w:val="009F171E"/>
    <w:rsid w:val="009F3D2F"/>
    <w:rsid w:val="009F3FCF"/>
    <w:rsid w:val="009F5EB4"/>
    <w:rsid w:val="009F7052"/>
    <w:rsid w:val="009F7264"/>
    <w:rsid w:val="00A0123D"/>
    <w:rsid w:val="00A02668"/>
    <w:rsid w:val="00A02801"/>
    <w:rsid w:val="00A04828"/>
    <w:rsid w:val="00A06A39"/>
    <w:rsid w:val="00A079A3"/>
    <w:rsid w:val="00A07F58"/>
    <w:rsid w:val="00A131CB"/>
    <w:rsid w:val="00A1323E"/>
    <w:rsid w:val="00A13E88"/>
    <w:rsid w:val="00A1421D"/>
    <w:rsid w:val="00A14847"/>
    <w:rsid w:val="00A16D6D"/>
    <w:rsid w:val="00A20F0E"/>
    <w:rsid w:val="00A21383"/>
    <w:rsid w:val="00A2199F"/>
    <w:rsid w:val="00A21B31"/>
    <w:rsid w:val="00A2266E"/>
    <w:rsid w:val="00A2360E"/>
    <w:rsid w:val="00A23F3B"/>
    <w:rsid w:val="00A2400E"/>
    <w:rsid w:val="00A24523"/>
    <w:rsid w:val="00A24553"/>
    <w:rsid w:val="00A245B6"/>
    <w:rsid w:val="00A25FAD"/>
    <w:rsid w:val="00A26E0C"/>
    <w:rsid w:val="00A27B78"/>
    <w:rsid w:val="00A32FCB"/>
    <w:rsid w:val="00A34C25"/>
    <w:rsid w:val="00A3507D"/>
    <w:rsid w:val="00A3555C"/>
    <w:rsid w:val="00A35A5B"/>
    <w:rsid w:val="00A36647"/>
    <w:rsid w:val="00A3717A"/>
    <w:rsid w:val="00A4088C"/>
    <w:rsid w:val="00A4114D"/>
    <w:rsid w:val="00A4456B"/>
    <w:rsid w:val="00A448D4"/>
    <w:rsid w:val="00A449B5"/>
    <w:rsid w:val="00A452E0"/>
    <w:rsid w:val="00A51EA5"/>
    <w:rsid w:val="00A521E7"/>
    <w:rsid w:val="00A53742"/>
    <w:rsid w:val="00A557A1"/>
    <w:rsid w:val="00A56032"/>
    <w:rsid w:val="00A615E6"/>
    <w:rsid w:val="00A62662"/>
    <w:rsid w:val="00A63059"/>
    <w:rsid w:val="00A63AE3"/>
    <w:rsid w:val="00A651A4"/>
    <w:rsid w:val="00A71361"/>
    <w:rsid w:val="00A71892"/>
    <w:rsid w:val="00A71E57"/>
    <w:rsid w:val="00A71F62"/>
    <w:rsid w:val="00A7322B"/>
    <w:rsid w:val="00A73702"/>
    <w:rsid w:val="00A73BD0"/>
    <w:rsid w:val="00A746E2"/>
    <w:rsid w:val="00A75A9B"/>
    <w:rsid w:val="00A80C6F"/>
    <w:rsid w:val="00A81FF2"/>
    <w:rsid w:val="00A83904"/>
    <w:rsid w:val="00A90A79"/>
    <w:rsid w:val="00A93385"/>
    <w:rsid w:val="00A93E92"/>
    <w:rsid w:val="00A9647A"/>
    <w:rsid w:val="00A96966"/>
    <w:rsid w:val="00A96B30"/>
    <w:rsid w:val="00AA131E"/>
    <w:rsid w:val="00AA485D"/>
    <w:rsid w:val="00AA59B5"/>
    <w:rsid w:val="00AA7777"/>
    <w:rsid w:val="00AA7B84"/>
    <w:rsid w:val="00AB4638"/>
    <w:rsid w:val="00AB7E0C"/>
    <w:rsid w:val="00AB7F12"/>
    <w:rsid w:val="00AC0B4C"/>
    <w:rsid w:val="00AC1164"/>
    <w:rsid w:val="00AC1240"/>
    <w:rsid w:val="00AC2296"/>
    <w:rsid w:val="00AC2754"/>
    <w:rsid w:val="00AC48B0"/>
    <w:rsid w:val="00AC4ACD"/>
    <w:rsid w:val="00AC4C54"/>
    <w:rsid w:val="00AC5DFB"/>
    <w:rsid w:val="00AC6B88"/>
    <w:rsid w:val="00AD02CB"/>
    <w:rsid w:val="00AD0FF1"/>
    <w:rsid w:val="00AD13DC"/>
    <w:rsid w:val="00AD6DE2"/>
    <w:rsid w:val="00AE027F"/>
    <w:rsid w:val="00AE0A40"/>
    <w:rsid w:val="00AE0E3D"/>
    <w:rsid w:val="00AE174A"/>
    <w:rsid w:val="00AE1ED4"/>
    <w:rsid w:val="00AE21E1"/>
    <w:rsid w:val="00AE2F8D"/>
    <w:rsid w:val="00AE3BAE"/>
    <w:rsid w:val="00AE49C9"/>
    <w:rsid w:val="00AE60AC"/>
    <w:rsid w:val="00AE69DC"/>
    <w:rsid w:val="00AE6A21"/>
    <w:rsid w:val="00AF151D"/>
    <w:rsid w:val="00AF1C8F"/>
    <w:rsid w:val="00AF2B68"/>
    <w:rsid w:val="00AF2C92"/>
    <w:rsid w:val="00AF3EC1"/>
    <w:rsid w:val="00AF5025"/>
    <w:rsid w:val="00AF519F"/>
    <w:rsid w:val="00AF5387"/>
    <w:rsid w:val="00AF55F5"/>
    <w:rsid w:val="00AF7E81"/>
    <w:rsid w:val="00AF7E86"/>
    <w:rsid w:val="00B00932"/>
    <w:rsid w:val="00B024B9"/>
    <w:rsid w:val="00B077FA"/>
    <w:rsid w:val="00B07853"/>
    <w:rsid w:val="00B10E0D"/>
    <w:rsid w:val="00B10E96"/>
    <w:rsid w:val="00B127D7"/>
    <w:rsid w:val="00B13B0C"/>
    <w:rsid w:val="00B1453A"/>
    <w:rsid w:val="00B16FAE"/>
    <w:rsid w:val="00B17286"/>
    <w:rsid w:val="00B17F95"/>
    <w:rsid w:val="00B20F82"/>
    <w:rsid w:val="00B25463"/>
    <w:rsid w:val="00B25A46"/>
    <w:rsid w:val="00B25BD5"/>
    <w:rsid w:val="00B266E2"/>
    <w:rsid w:val="00B32077"/>
    <w:rsid w:val="00B34079"/>
    <w:rsid w:val="00B371E8"/>
    <w:rsid w:val="00B373E0"/>
    <w:rsid w:val="00B37849"/>
    <w:rsid w:val="00B3793A"/>
    <w:rsid w:val="00B401BA"/>
    <w:rsid w:val="00B407E4"/>
    <w:rsid w:val="00B425B6"/>
    <w:rsid w:val="00B42A72"/>
    <w:rsid w:val="00B441AE"/>
    <w:rsid w:val="00B45F33"/>
    <w:rsid w:val="00B46D50"/>
    <w:rsid w:val="00B50B43"/>
    <w:rsid w:val="00B5111D"/>
    <w:rsid w:val="00B53170"/>
    <w:rsid w:val="00B55C71"/>
    <w:rsid w:val="00B57C2D"/>
    <w:rsid w:val="00B62999"/>
    <w:rsid w:val="00B6391C"/>
    <w:rsid w:val="00B63BE3"/>
    <w:rsid w:val="00B64885"/>
    <w:rsid w:val="00B66810"/>
    <w:rsid w:val="00B677DB"/>
    <w:rsid w:val="00B72BE3"/>
    <w:rsid w:val="00B73B80"/>
    <w:rsid w:val="00B766F9"/>
    <w:rsid w:val="00B770C7"/>
    <w:rsid w:val="00B80F26"/>
    <w:rsid w:val="00B81131"/>
    <w:rsid w:val="00B81260"/>
    <w:rsid w:val="00B819BD"/>
    <w:rsid w:val="00B822BD"/>
    <w:rsid w:val="00B842F4"/>
    <w:rsid w:val="00B9070C"/>
    <w:rsid w:val="00B9149E"/>
    <w:rsid w:val="00B91A7B"/>
    <w:rsid w:val="00B929DD"/>
    <w:rsid w:val="00B94098"/>
    <w:rsid w:val="00B95405"/>
    <w:rsid w:val="00B95FFB"/>
    <w:rsid w:val="00B963F1"/>
    <w:rsid w:val="00BA020A"/>
    <w:rsid w:val="00BA2D9D"/>
    <w:rsid w:val="00BA3513"/>
    <w:rsid w:val="00BA5E39"/>
    <w:rsid w:val="00BA7AF5"/>
    <w:rsid w:val="00BA7E66"/>
    <w:rsid w:val="00BB02A4"/>
    <w:rsid w:val="00BB040D"/>
    <w:rsid w:val="00BB1270"/>
    <w:rsid w:val="00BB1E44"/>
    <w:rsid w:val="00BB320D"/>
    <w:rsid w:val="00BB5267"/>
    <w:rsid w:val="00BB52B8"/>
    <w:rsid w:val="00BB59D8"/>
    <w:rsid w:val="00BB7E69"/>
    <w:rsid w:val="00BC098D"/>
    <w:rsid w:val="00BC3C1F"/>
    <w:rsid w:val="00BC5BE9"/>
    <w:rsid w:val="00BC5E47"/>
    <w:rsid w:val="00BC7CE7"/>
    <w:rsid w:val="00BD0706"/>
    <w:rsid w:val="00BD295E"/>
    <w:rsid w:val="00BD4664"/>
    <w:rsid w:val="00BD6E41"/>
    <w:rsid w:val="00BE0C1D"/>
    <w:rsid w:val="00BE1193"/>
    <w:rsid w:val="00BE1525"/>
    <w:rsid w:val="00BE6953"/>
    <w:rsid w:val="00BF0344"/>
    <w:rsid w:val="00BF1799"/>
    <w:rsid w:val="00BF40A9"/>
    <w:rsid w:val="00BF4849"/>
    <w:rsid w:val="00BF4DE9"/>
    <w:rsid w:val="00BF4EA7"/>
    <w:rsid w:val="00BF5375"/>
    <w:rsid w:val="00BF60DD"/>
    <w:rsid w:val="00BF7DD3"/>
    <w:rsid w:val="00BF7E93"/>
    <w:rsid w:val="00C002AC"/>
    <w:rsid w:val="00C00EDB"/>
    <w:rsid w:val="00C02863"/>
    <w:rsid w:val="00C02C6F"/>
    <w:rsid w:val="00C0383A"/>
    <w:rsid w:val="00C03CB1"/>
    <w:rsid w:val="00C03E1C"/>
    <w:rsid w:val="00C03FD1"/>
    <w:rsid w:val="00C067FF"/>
    <w:rsid w:val="00C07F05"/>
    <w:rsid w:val="00C1067A"/>
    <w:rsid w:val="00C10CC7"/>
    <w:rsid w:val="00C1198D"/>
    <w:rsid w:val="00C12862"/>
    <w:rsid w:val="00C13D28"/>
    <w:rsid w:val="00C14585"/>
    <w:rsid w:val="00C165A0"/>
    <w:rsid w:val="00C1685D"/>
    <w:rsid w:val="00C216CE"/>
    <w:rsid w:val="00C2184F"/>
    <w:rsid w:val="00C22203"/>
    <w:rsid w:val="00C22A78"/>
    <w:rsid w:val="00C23C7E"/>
    <w:rsid w:val="00C243CD"/>
    <w:rsid w:val="00C246C5"/>
    <w:rsid w:val="00C25A82"/>
    <w:rsid w:val="00C3071A"/>
    <w:rsid w:val="00C30A2A"/>
    <w:rsid w:val="00C33993"/>
    <w:rsid w:val="00C35D14"/>
    <w:rsid w:val="00C4069E"/>
    <w:rsid w:val="00C41ADC"/>
    <w:rsid w:val="00C43F59"/>
    <w:rsid w:val="00C44149"/>
    <w:rsid w:val="00C44410"/>
    <w:rsid w:val="00C44A15"/>
    <w:rsid w:val="00C44F3D"/>
    <w:rsid w:val="00C4630A"/>
    <w:rsid w:val="00C4721D"/>
    <w:rsid w:val="00C523F0"/>
    <w:rsid w:val="00C526D2"/>
    <w:rsid w:val="00C53904"/>
    <w:rsid w:val="00C55514"/>
    <w:rsid w:val="00C56F2E"/>
    <w:rsid w:val="00C5794E"/>
    <w:rsid w:val="00C60968"/>
    <w:rsid w:val="00C60BE3"/>
    <w:rsid w:val="00C62E5C"/>
    <w:rsid w:val="00C637EC"/>
    <w:rsid w:val="00C63D39"/>
    <w:rsid w:val="00C63EDD"/>
    <w:rsid w:val="00C6570E"/>
    <w:rsid w:val="00C657C2"/>
    <w:rsid w:val="00C65B36"/>
    <w:rsid w:val="00C720F2"/>
    <w:rsid w:val="00C7292E"/>
    <w:rsid w:val="00C74E88"/>
    <w:rsid w:val="00C7531A"/>
    <w:rsid w:val="00C80924"/>
    <w:rsid w:val="00C81F50"/>
    <w:rsid w:val="00C81FEE"/>
    <w:rsid w:val="00C8286B"/>
    <w:rsid w:val="00C85017"/>
    <w:rsid w:val="00C853B4"/>
    <w:rsid w:val="00C942FC"/>
    <w:rsid w:val="00C947F8"/>
    <w:rsid w:val="00C9515F"/>
    <w:rsid w:val="00C95645"/>
    <w:rsid w:val="00C963C5"/>
    <w:rsid w:val="00C97BDA"/>
    <w:rsid w:val="00CA030C"/>
    <w:rsid w:val="00CA096C"/>
    <w:rsid w:val="00CA0FDE"/>
    <w:rsid w:val="00CA18C4"/>
    <w:rsid w:val="00CA1F41"/>
    <w:rsid w:val="00CA329E"/>
    <w:rsid w:val="00CA32EE"/>
    <w:rsid w:val="00CA3F52"/>
    <w:rsid w:val="00CA5BE5"/>
    <w:rsid w:val="00CA6488"/>
    <w:rsid w:val="00CA6A1A"/>
    <w:rsid w:val="00CA6E9B"/>
    <w:rsid w:val="00CB0AE0"/>
    <w:rsid w:val="00CB102D"/>
    <w:rsid w:val="00CB1D94"/>
    <w:rsid w:val="00CB3E76"/>
    <w:rsid w:val="00CB4D98"/>
    <w:rsid w:val="00CB7AF8"/>
    <w:rsid w:val="00CC1E75"/>
    <w:rsid w:val="00CC2E0E"/>
    <w:rsid w:val="00CC361C"/>
    <w:rsid w:val="00CC474B"/>
    <w:rsid w:val="00CC658C"/>
    <w:rsid w:val="00CC67BF"/>
    <w:rsid w:val="00CD0843"/>
    <w:rsid w:val="00CD5A78"/>
    <w:rsid w:val="00CD64F1"/>
    <w:rsid w:val="00CD7345"/>
    <w:rsid w:val="00CD7C41"/>
    <w:rsid w:val="00CE0C26"/>
    <w:rsid w:val="00CE2480"/>
    <w:rsid w:val="00CE372E"/>
    <w:rsid w:val="00CE78A3"/>
    <w:rsid w:val="00CE7AB7"/>
    <w:rsid w:val="00CF019F"/>
    <w:rsid w:val="00CF0A1B"/>
    <w:rsid w:val="00CF19F6"/>
    <w:rsid w:val="00CF1DAD"/>
    <w:rsid w:val="00CF2985"/>
    <w:rsid w:val="00CF2F4F"/>
    <w:rsid w:val="00CF3A42"/>
    <w:rsid w:val="00CF4F6E"/>
    <w:rsid w:val="00CF536D"/>
    <w:rsid w:val="00D011E8"/>
    <w:rsid w:val="00D02145"/>
    <w:rsid w:val="00D0618C"/>
    <w:rsid w:val="00D10CB8"/>
    <w:rsid w:val="00D11406"/>
    <w:rsid w:val="00D12806"/>
    <w:rsid w:val="00D12D44"/>
    <w:rsid w:val="00D15018"/>
    <w:rsid w:val="00D158AC"/>
    <w:rsid w:val="00D1623F"/>
    <w:rsid w:val="00D1694C"/>
    <w:rsid w:val="00D20F5E"/>
    <w:rsid w:val="00D23639"/>
    <w:rsid w:val="00D23B76"/>
    <w:rsid w:val="00D379A3"/>
    <w:rsid w:val="00D43272"/>
    <w:rsid w:val="00D45FF3"/>
    <w:rsid w:val="00D47B2B"/>
    <w:rsid w:val="00D512CF"/>
    <w:rsid w:val="00D51390"/>
    <w:rsid w:val="00D513B5"/>
    <w:rsid w:val="00D528B9"/>
    <w:rsid w:val="00D53186"/>
    <w:rsid w:val="00D536AD"/>
    <w:rsid w:val="00D5487D"/>
    <w:rsid w:val="00D60140"/>
    <w:rsid w:val="00D6024A"/>
    <w:rsid w:val="00D608B5"/>
    <w:rsid w:val="00D62F8E"/>
    <w:rsid w:val="00D66F7E"/>
    <w:rsid w:val="00D71F99"/>
    <w:rsid w:val="00D72B32"/>
    <w:rsid w:val="00D73CA4"/>
    <w:rsid w:val="00D73D71"/>
    <w:rsid w:val="00D74396"/>
    <w:rsid w:val="00D80284"/>
    <w:rsid w:val="00D81F71"/>
    <w:rsid w:val="00D84B15"/>
    <w:rsid w:val="00D8509B"/>
    <w:rsid w:val="00D8642D"/>
    <w:rsid w:val="00D87985"/>
    <w:rsid w:val="00D902FE"/>
    <w:rsid w:val="00D90A5E"/>
    <w:rsid w:val="00D919FF"/>
    <w:rsid w:val="00D91A68"/>
    <w:rsid w:val="00D94195"/>
    <w:rsid w:val="00D951FE"/>
    <w:rsid w:val="00D95A68"/>
    <w:rsid w:val="00D97D8D"/>
    <w:rsid w:val="00DA17C7"/>
    <w:rsid w:val="00DA6A9A"/>
    <w:rsid w:val="00DA72DD"/>
    <w:rsid w:val="00DA7AF6"/>
    <w:rsid w:val="00DB1EFD"/>
    <w:rsid w:val="00DB2299"/>
    <w:rsid w:val="00DB3565"/>
    <w:rsid w:val="00DB3EAF"/>
    <w:rsid w:val="00DB4E0D"/>
    <w:rsid w:val="00DB738E"/>
    <w:rsid w:val="00DB798A"/>
    <w:rsid w:val="00DC02BD"/>
    <w:rsid w:val="00DC14DE"/>
    <w:rsid w:val="00DC3203"/>
    <w:rsid w:val="00DC3387"/>
    <w:rsid w:val="00DC3C99"/>
    <w:rsid w:val="00DC487B"/>
    <w:rsid w:val="00DC52F5"/>
    <w:rsid w:val="00DC5B61"/>
    <w:rsid w:val="00DC5FD0"/>
    <w:rsid w:val="00DD0354"/>
    <w:rsid w:val="00DD0648"/>
    <w:rsid w:val="00DD27D7"/>
    <w:rsid w:val="00DD458C"/>
    <w:rsid w:val="00DD5C46"/>
    <w:rsid w:val="00DD68C7"/>
    <w:rsid w:val="00DD72E9"/>
    <w:rsid w:val="00DD7605"/>
    <w:rsid w:val="00DE1239"/>
    <w:rsid w:val="00DE2020"/>
    <w:rsid w:val="00DE3476"/>
    <w:rsid w:val="00DF5B84"/>
    <w:rsid w:val="00DF65A5"/>
    <w:rsid w:val="00DF6D5B"/>
    <w:rsid w:val="00DF715E"/>
    <w:rsid w:val="00DF771B"/>
    <w:rsid w:val="00DF7EE2"/>
    <w:rsid w:val="00E01BAA"/>
    <w:rsid w:val="00E0282A"/>
    <w:rsid w:val="00E03760"/>
    <w:rsid w:val="00E03AF5"/>
    <w:rsid w:val="00E07E14"/>
    <w:rsid w:val="00E13747"/>
    <w:rsid w:val="00E14F94"/>
    <w:rsid w:val="00E15A5B"/>
    <w:rsid w:val="00E17336"/>
    <w:rsid w:val="00E17D15"/>
    <w:rsid w:val="00E22B95"/>
    <w:rsid w:val="00E2301A"/>
    <w:rsid w:val="00E27927"/>
    <w:rsid w:val="00E30331"/>
    <w:rsid w:val="00E30BB8"/>
    <w:rsid w:val="00E31F9C"/>
    <w:rsid w:val="00E32419"/>
    <w:rsid w:val="00E32696"/>
    <w:rsid w:val="00E33C33"/>
    <w:rsid w:val="00E40488"/>
    <w:rsid w:val="00E429AA"/>
    <w:rsid w:val="00E42F32"/>
    <w:rsid w:val="00E43AB6"/>
    <w:rsid w:val="00E43DC2"/>
    <w:rsid w:val="00E44538"/>
    <w:rsid w:val="00E50367"/>
    <w:rsid w:val="00E51ABA"/>
    <w:rsid w:val="00E524CB"/>
    <w:rsid w:val="00E52FCE"/>
    <w:rsid w:val="00E5481E"/>
    <w:rsid w:val="00E5597B"/>
    <w:rsid w:val="00E55E9A"/>
    <w:rsid w:val="00E56016"/>
    <w:rsid w:val="00E562E8"/>
    <w:rsid w:val="00E62E20"/>
    <w:rsid w:val="00E62E93"/>
    <w:rsid w:val="00E65456"/>
    <w:rsid w:val="00E65A91"/>
    <w:rsid w:val="00E66188"/>
    <w:rsid w:val="00E664FB"/>
    <w:rsid w:val="00E669CB"/>
    <w:rsid w:val="00E67CAF"/>
    <w:rsid w:val="00E67F89"/>
    <w:rsid w:val="00E70373"/>
    <w:rsid w:val="00E707D0"/>
    <w:rsid w:val="00E71CD5"/>
    <w:rsid w:val="00E72739"/>
    <w:rsid w:val="00E72E40"/>
    <w:rsid w:val="00E73665"/>
    <w:rsid w:val="00E73999"/>
    <w:rsid w:val="00E73BDC"/>
    <w:rsid w:val="00E73E9E"/>
    <w:rsid w:val="00E77DB9"/>
    <w:rsid w:val="00E81660"/>
    <w:rsid w:val="00E854FE"/>
    <w:rsid w:val="00E856B8"/>
    <w:rsid w:val="00E86C49"/>
    <w:rsid w:val="00E906CC"/>
    <w:rsid w:val="00E9267D"/>
    <w:rsid w:val="00E939A0"/>
    <w:rsid w:val="00E97257"/>
    <w:rsid w:val="00E97E4E"/>
    <w:rsid w:val="00EA1753"/>
    <w:rsid w:val="00EA1CC2"/>
    <w:rsid w:val="00EA2D76"/>
    <w:rsid w:val="00EA4644"/>
    <w:rsid w:val="00EA5E25"/>
    <w:rsid w:val="00EA758A"/>
    <w:rsid w:val="00EA7DA5"/>
    <w:rsid w:val="00EB199F"/>
    <w:rsid w:val="00EB27C4"/>
    <w:rsid w:val="00EB352A"/>
    <w:rsid w:val="00EB5387"/>
    <w:rsid w:val="00EB5C10"/>
    <w:rsid w:val="00EB6856"/>
    <w:rsid w:val="00EB7322"/>
    <w:rsid w:val="00EB7437"/>
    <w:rsid w:val="00EC0FE9"/>
    <w:rsid w:val="00EC4234"/>
    <w:rsid w:val="00EC426D"/>
    <w:rsid w:val="00EC571B"/>
    <w:rsid w:val="00EC57D7"/>
    <w:rsid w:val="00EC60DF"/>
    <w:rsid w:val="00EC6385"/>
    <w:rsid w:val="00EC6862"/>
    <w:rsid w:val="00ED1DE9"/>
    <w:rsid w:val="00ED23D4"/>
    <w:rsid w:val="00ED3604"/>
    <w:rsid w:val="00ED390C"/>
    <w:rsid w:val="00ED5E0B"/>
    <w:rsid w:val="00EE1F56"/>
    <w:rsid w:val="00EE37B6"/>
    <w:rsid w:val="00EE647D"/>
    <w:rsid w:val="00EE6AE8"/>
    <w:rsid w:val="00EE7660"/>
    <w:rsid w:val="00EF0F45"/>
    <w:rsid w:val="00EF1582"/>
    <w:rsid w:val="00EF1E8D"/>
    <w:rsid w:val="00EF2344"/>
    <w:rsid w:val="00EF25F5"/>
    <w:rsid w:val="00EF61DF"/>
    <w:rsid w:val="00EF7463"/>
    <w:rsid w:val="00EF7578"/>
    <w:rsid w:val="00EF76FF"/>
    <w:rsid w:val="00F002EF"/>
    <w:rsid w:val="00F010EE"/>
    <w:rsid w:val="00F01EE9"/>
    <w:rsid w:val="00F02E63"/>
    <w:rsid w:val="00F02F94"/>
    <w:rsid w:val="00F0460A"/>
    <w:rsid w:val="00F04900"/>
    <w:rsid w:val="00F04C90"/>
    <w:rsid w:val="00F065A4"/>
    <w:rsid w:val="00F10240"/>
    <w:rsid w:val="00F123D2"/>
    <w:rsid w:val="00F126B9"/>
    <w:rsid w:val="00F12715"/>
    <w:rsid w:val="00F144D5"/>
    <w:rsid w:val="00F146F0"/>
    <w:rsid w:val="00F14C0C"/>
    <w:rsid w:val="00F15039"/>
    <w:rsid w:val="00F1606C"/>
    <w:rsid w:val="00F20FF3"/>
    <w:rsid w:val="00F2190B"/>
    <w:rsid w:val="00F21B85"/>
    <w:rsid w:val="00F228B5"/>
    <w:rsid w:val="00F2389C"/>
    <w:rsid w:val="00F24F1C"/>
    <w:rsid w:val="00F2547B"/>
    <w:rsid w:val="00F25C67"/>
    <w:rsid w:val="00F30DFF"/>
    <w:rsid w:val="00F31A71"/>
    <w:rsid w:val="00F32095"/>
    <w:rsid w:val="00F32B80"/>
    <w:rsid w:val="00F32CD8"/>
    <w:rsid w:val="00F340EB"/>
    <w:rsid w:val="00F3502F"/>
    <w:rsid w:val="00F35285"/>
    <w:rsid w:val="00F35B5F"/>
    <w:rsid w:val="00F40042"/>
    <w:rsid w:val="00F4366F"/>
    <w:rsid w:val="00F43B9D"/>
    <w:rsid w:val="00F44D5E"/>
    <w:rsid w:val="00F4613C"/>
    <w:rsid w:val="00F46E7D"/>
    <w:rsid w:val="00F478FE"/>
    <w:rsid w:val="00F47D54"/>
    <w:rsid w:val="00F53A35"/>
    <w:rsid w:val="00F53DAA"/>
    <w:rsid w:val="00F55A3D"/>
    <w:rsid w:val="00F55A91"/>
    <w:rsid w:val="00F56D37"/>
    <w:rsid w:val="00F5744B"/>
    <w:rsid w:val="00F61209"/>
    <w:rsid w:val="00F6259E"/>
    <w:rsid w:val="00F65D91"/>
    <w:rsid w:val="00F65DD4"/>
    <w:rsid w:val="00F672B2"/>
    <w:rsid w:val="00F70666"/>
    <w:rsid w:val="00F73AC2"/>
    <w:rsid w:val="00F761EC"/>
    <w:rsid w:val="00F77B8B"/>
    <w:rsid w:val="00F80DC9"/>
    <w:rsid w:val="00F838DC"/>
    <w:rsid w:val="00F83973"/>
    <w:rsid w:val="00F83F93"/>
    <w:rsid w:val="00F86532"/>
    <w:rsid w:val="00F87FA3"/>
    <w:rsid w:val="00F901E9"/>
    <w:rsid w:val="00F93D8C"/>
    <w:rsid w:val="00F94FC0"/>
    <w:rsid w:val="00FA3102"/>
    <w:rsid w:val="00FA48D4"/>
    <w:rsid w:val="00FA54FA"/>
    <w:rsid w:val="00FA5F03"/>
    <w:rsid w:val="00FA63C1"/>
    <w:rsid w:val="00FB227E"/>
    <w:rsid w:val="00FB3D61"/>
    <w:rsid w:val="00FB44CE"/>
    <w:rsid w:val="00FB5009"/>
    <w:rsid w:val="00FB76AB"/>
    <w:rsid w:val="00FB7E36"/>
    <w:rsid w:val="00FC2D89"/>
    <w:rsid w:val="00FD0262"/>
    <w:rsid w:val="00FD03FE"/>
    <w:rsid w:val="00FD126E"/>
    <w:rsid w:val="00FD3C36"/>
    <w:rsid w:val="00FD4D81"/>
    <w:rsid w:val="00FD5B43"/>
    <w:rsid w:val="00FD6F91"/>
    <w:rsid w:val="00FD7498"/>
    <w:rsid w:val="00FD7F10"/>
    <w:rsid w:val="00FD7FB3"/>
    <w:rsid w:val="00FE19EA"/>
    <w:rsid w:val="00FE441C"/>
    <w:rsid w:val="00FE4713"/>
    <w:rsid w:val="00FE774D"/>
    <w:rsid w:val="00FF08FF"/>
    <w:rsid w:val="00FF0ABF"/>
    <w:rsid w:val="00FF1F44"/>
    <w:rsid w:val="00FF21C5"/>
    <w:rsid w:val="00FF225E"/>
    <w:rsid w:val="00FF61B2"/>
    <w:rsid w:val="00FF672C"/>
    <w:rsid w:val="00FF6BCE"/>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2A8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PageNumber">
    <w:name w:val="page number"/>
    <w:basedOn w:val="DefaultParagraphFont"/>
    <w:uiPriority w:val="99"/>
    <w:unhideWhenUsed/>
    <w:rsid w:val="0057683A"/>
  </w:style>
  <w:style w:type="character" w:styleId="Hyperlink">
    <w:name w:val="Hyperlink"/>
    <w:basedOn w:val="DefaultParagraphFont"/>
    <w:uiPriority w:val="99"/>
    <w:unhideWhenUsed/>
    <w:rsid w:val="008D088C"/>
    <w:rPr>
      <w:color w:val="0000FF"/>
      <w:u w:val="single"/>
    </w:rPr>
  </w:style>
  <w:style w:type="paragraph" w:styleId="BalloonText">
    <w:name w:val="Balloon Text"/>
    <w:basedOn w:val="Normal"/>
    <w:link w:val="BalloonTextChar"/>
    <w:uiPriority w:val="99"/>
    <w:unhideWhenUsed/>
    <w:rsid w:val="008615B4"/>
    <w:pPr>
      <w:spacing w:line="240" w:lineRule="auto"/>
    </w:pPr>
    <w:rPr>
      <w:rFonts w:ascii="Tahoma" w:eastAsiaTheme="minorEastAsia" w:hAnsi="Tahoma" w:cs="Tahoma"/>
      <w:sz w:val="16"/>
      <w:szCs w:val="16"/>
      <w:lang w:val="en-US" w:eastAsia="nl-NL"/>
    </w:rPr>
  </w:style>
  <w:style w:type="character" w:customStyle="1" w:styleId="BalloonTextChar">
    <w:name w:val="Balloon Text Char"/>
    <w:basedOn w:val="DefaultParagraphFont"/>
    <w:link w:val="BalloonText"/>
    <w:uiPriority w:val="99"/>
    <w:rsid w:val="008615B4"/>
    <w:rPr>
      <w:rFonts w:ascii="Tahoma" w:eastAsiaTheme="minorEastAsia" w:hAnsi="Tahoma" w:cs="Tahoma"/>
      <w:sz w:val="16"/>
      <w:szCs w:val="16"/>
      <w:lang w:val="en-US" w:eastAsia="nl-NL"/>
    </w:rPr>
  </w:style>
  <w:style w:type="paragraph" w:styleId="Caption">
    <w:name w:val="caption"/>
    <w:basedOn w:val="Normal"/>
    <w:next w:val="Normal"/>
    <w:uiPriority w:val="35"/>
    <w:unhideWhenUsed/>
    <w:qFormat/>
    <w:rsid w:val="008615B4"/>
    <w:pPr>
      <w:spacing w:after="200" w:line="240" w:lineRule="auto"/>
    </w:pPr>
    <w:rPr>
      <w:rFonts w:asciiTheme="minorHAnsi" w:eastAsiaTheme="minorEastAsia" w:hAnsiTheme="minorHAnsi" w:cstheme="minorBidi"/>
      <w:b/>
      <w:bCs/>
      <w:color w:val="4F81BD" w:themeColor="accent1"/>
      <w:sz w:val="18"/>
      <w:szCs w:val="18"/>
      <w:lang w:val="en-US" w:eastAsia="nl-NL"/>
    </w:rPr>
  </w:style>
  <w:style w:type="paragraph" w:styleId="ListParagraph">
    <w:name w:val="List Paragraph"/>
    <w:basedOn w:val="Normal"/>
    <w:uiPriority w:val="34"/>
    <w:qFormat/>
    <w:rsid w:val="008615B4"/>
    <w:pPr>
      <w:spacing w:after="200" w:line="276" w:lineRule="auto"/>
      <w:ind w:left="720"/>
      <w:contextualSpacing/>
    </w:pPr>
    <w:rPr>
      <w:rFonts w:asciiTheme="minorHAnsi" w:eastAsiaTheme="minorEastAsia" w:hAnsiTheme="minorHAnsi" w:cstheme="minorBidi"/>
      <w:sz w:val="22"/>
      <w:szCs w:val="22"/>
      <w:lang w:val="en-US" w:eastAsia="nl-NL"/>
    </w:rPr>
  </w:style>
  <w:style w:type="character" w:customStyle="1" w:styleId="apple-converted-space">
    <w:name w:val="apple-converted-space"/>
    <w:basedOn w:val="DefaultParagraphFont"/>
    <w:rsid w:val="008615B4"/>
  </w:style>
  <w:style w:type="character" w:styleId="Emphasis">
    <w:name w:val="Emphasis"/>
    <w:basedOn w:val="DefaultParagraphFont"/>
    <w:uiPriority w:val="20"/>
    <w:qFormat/>
    <w:rsid w:val="008615B4"/>
    <w:rPr>
      <w:i/>
      <w:iCs/>
    </w:rPr>
  </w:style>
  <w:style w:type="character" w:styleId="CommentReference">
    <w:name w:val="annotation reference"/>
    <w:basedOn w:val="DefaultParagraphFont"/>
    <w:uiPriority w:val="99"/>
    <w:unhideWhenUsed/>
    <w:rsid w:val="008615B4"/>
    <w:rPr>
      <w:sz w:val="16"/>
      <w:szCs w:val="16"/>
    </w:rPr>
  </w:style>
  <w:style w:type="paragraph" w:styleId="CommentText">
    <w:name w:val="annotation text"/>
    <w:basedOn w:val="Normal"/>
    <w:link w:val="CommentTextChar"/>
    <w:uiPriority w:val="99"/>
    <w:unhideWhenUsed/>
    <w:rsid w:val="008615B4"/>
    <w:pPr>
      <w:spacing w:after="200" w:line="240" w:lineRule="auto"/>
    </w:pPr>
    <w:rPr>
      <w:rFonts w:asciiTheme="minorHAnsi" w:eastAsiaTheme="minorEastAsia" w:hAnsiTheme="minorHAnsi" w:cstheme="minorBidi"/>
      <w:sz w:val="20"/>
      <w:szCs w:val="20"/>
      <w:lang w:val="en-US" w:eastAsia="nl-NL"/>
    </w:rPr>
  </w:style>
  <w:style w:type="character" w:customStyle="1" w:styleId="CommentTextChar">
    <w:name w:val="Comment Text Char"/>
    <w:basedOn w:val="DefaultParagraphFont"/>
    <w:link w:val="CommentText"/>
    <w:uiPriority w:val="99"/>
    <w:rsid w:val="008615B4"/>
    <w:rPr>
      <w:rFonts w:asciiTheme="minorHAnsi" w:eastAsiaTheme="minorEastAsia" w:hAnsiTheme="minorHAnsi" w:cstheme="minorBidi"/>
      <w:lang w:val="en-US" w:eastAsia="nl-NL"/>
    </w:rPr>
  </w:style>
  <w:style w:type="paragraph" w:styleId="CommentSubject">
    <w:name w:val="annotation subject"/>
    <w:basedOn w:val="CommentText"/>
    <w:next w:val="CommentText"/>
    <w:link w:val="CommentSubjectChar"/>
    <w:uiPriority w:val="99"/>
    <w:unhideWhenUsed/>
    <w:rsid w:val="008615B4"/>
    <w:rPr>
      <w:b/>
      <w:bCs/>
    </w:rPr>
  </w:style>
  <w:style w:type="character" w:customStyle="1" w:styleId="CommentSubjectChar">
    <w:name w:val="Comment Subject Char"/>
    <w:basedOn w:val="CommentTextChar"/>
    <w:link w:val="CommentSubject"/>
    <w:uiPriority w:val="99"/>
    <w:rsid w:val="008615B4"/>
    <w:rPr>
      <w:rFonts w:asciiTheme="minorHAnsi" w:eastAsiaTheme="minorEastAsia" w:hAnsiTheme="minorHAnsi" w:cstheme="minorBidi"/>
      <w:b/>
      <w:bCs/>
      <w:lang w:val="en-US" w:eastAsia="nl-NL"/>
    </w:rPr>
  </w:style>
  <w:style w:type="table" w:styleId="TableGrid">
    <w:name w:val="Table Grid"/>
    <w:basedOn w:val="TableNormal"/>
    <w:uiPriority w:val="39"/>
    <w:rsid w:val="008615B4"/>
    <w:rPr>
      <w:rFonts w:asciiTheme="minorHAnsi" w:eastAsiaTheme="minorEastAsia" w:hAnsiTheme="minorHAnsi" w:cstheme="minorBidi"/>
      <w:sz w:val="22"/>
      <w:szCs w:val="22"/>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615B4"/>
    <w:rPr>
      <w:rFonts w:asciiTheme="majorHAnsi" w:eastAsiaTheme="majorEastAsia" w:hAnsiTheme="majorHAnsi" w:cstheme="majorBidi"/>
      <w:color w:val="000000" w:themeColor="text1"/>
      <w:sz w:val="22"/>
      <w:szCs w:val="22"/>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8615B4"/>
    <w:rPr>
      <w:rFonts w:asciiTheme="minorHAnsi" w:eastAsiaTheme="minorEastAsia" w:hAnsiTheme="minorHAnsi" w:cstheme="minorBidi"/>
      <w:sz w:val="22"/>
      <w:szCs w:val="22"/>
      <w:lang w:val="nl-NL" w:eastAsia="nl-NL"/>
    </w:rPr>
  </w:style>
  <w:style w:type="paragraph" w:styleId="Revision">
    <w:name w:val="Revision"/>
    <w:hidden/>
    <w:uiPriority w:val="99"/>
    <w:rsid w:val="008615B4"/>
    <w:rPr>
      <w:rFonts w:asciiTheme="minorHAnsi" w:eastAsiaTheme="minorEastAsia" w:hAnsiTheme="minorHAnsi" w:cstheme="minorBidi"/>
      <w:sz w:val="22"/>
      <w:szCs w:val="22"/>
      <w:lang w:val="nl-NL" w:eastAsia="nl-NL"/>
    </w:rPr>
  </w:style>
  <w:style w:type="table" w:styleId="LightList">
    <w:name w:val="Light List"/>
    <w:basedOn w:val="TableNormal"/>
    <w:uiPriority w:val="61"/>
    <w:rsid w:val="008615B4"/>
    <w:rPr>
      <w:rFonts w:asciiTheme="minorHAnsi" w:eastAsiaTheme="minorEastAsia" w:hAnsiTheme="minorHAnsi" w:cstheme="minorBidi"/>
      <w:sz w:val="22"/>
      <w:szCs w:val="22"/>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itationindent">
    <w:name w:val="citationindent"/>
    <w:basedOn w:val="Normal"/>
    <w:rsid w:val="008615B4"/>
    <w:pPr>
      <w:spacing w:before="100" w:beforeAutospacing="1" w:after="100" w:afterAutospacing="1" w:line="240" w:lineRule="auto"/>
    </w:pPr>
    <w:rPr>
      <w:lang w:val="en-US" w:eastAsia="nl-NL"/>
    </w:rPr>
  </w:style>
  <w:style w:type="character" w:styleId="Strong">
    <w:name w:val="Strong"/>
    <w:basedOn w:val="DefaultParagraphFont"/>
    <w:uiPriority w:val="22"/>
    <w:qFormat/>
    <w:rsid w:val="008615B4"/>
    <w:rPr>
      <w:b/>
      <w:bCs/>
    </w:rPr>
  </w:style>
  <w:style w:type="table" w:styleId="LightShading-Accent6">
    <w:name w:val="Light Shading Accent 6"/>
    <w:basedOn w:val="TableNormal"/>
    <w:uiPriority w:val="60"/>
    <w:rsid w:val="008615B4"/>
    <w:rPr>
      <w:rFonts w:asciiTheme="minorHAnsi" w:eastAsiaTheme="minorEastAsia" w:hAnsiTheme="minorHAnsi" w:cstheme="minorBidi"/>
      <w:color w:val="E36C0A" w:themeColor="accent6" w:themeShade="BF"/>
      <w:sz w:val="22"/>
      <w:szCs w:val="22"/>
      <w:lang w:val="nl-NL" w:eastAsia="nl-N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8615B4"/>
    <w:rPr>
      <w:rFonts w:asciiTheme="minorHAnsi" w:eastAsiaTheme="minorEastAsia" w:hAnsiTheme="minorHAnsi" w:cstheme="minorBidi"/>
      <w:sz w:val="22"/>
      <w:szCs w:val="22"/>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8615B4"/>
    <w:pPr>
      <w:spacing w:before="100" w:beforeAutospacing="1" w:after="100" w:afterAutospacing="1" w:line="240" w:lineRule="auto"/>
    </w:pPr>
    <w:rPr>
      <w:rFonts w:ascii="Times" w:eastAsiaTheme="minorEastAsia" w:hAnsi="Times"/>
      <w:sz w:val="20"/>
      <w:szCs w:val="20"/>
      <w:lang w:val="en-US" w:eastAsia="en-US"/>
    </w:rPr>
  </w:style>
  <w:style w:type="character" w:customStyle="1" w:styleId="title-span">
    <w:name w:val="title-span"/>
    <w:basedOn w:val="DefaultParagraphFont"/>
    <w:rsid w:val="008615B4"/>
  </w:style>
  <w:style w:type="paragraph" w:styleId="Bibliography">
    <w:name w:val="Bibliography"/>
    <w:basedOn w:val="Normal"/>
    <w:next w:val="Normal"/>
    <w:uiPriority w:val="37"/>
    <w:unhideWhenUsed/>
    <w:rsid w:val="008615B4"/>
    <w:pPr>
      <w:ind w:left="720" w:hanging="720"/>
    </w:pPr>
    <w:rPr>
      <w:rFonts w:asciiTheme="minorHAnsi" w:eastAsiaTheme="minorEastAsia" w:hAnsiTheme="minorHAnsi" w:cstheme="minorBidi"/>
      <w:sz w:val="22"/>
      <w:szCs w:val="22"/>
      <w:lang w:val="en-US" w:eastAsia="nl-NL"/>
    </w:rPr>
  </w:style>
  <w:style w:type="paragraph" w:customStyle="1" w:styleId="paragraph0">
    <w:name w:val="paragraph"/>
    <w:basedOn w:val="Normal"/>
    <w:rsid w:val="008615B4"/>
    <w:pPr>
      <w:spacing w:before="100" w:beforeAutospacing="1" w:after="100" w:afterAutospacing="1" w:line="240" w:lineRule="auto"/>
    </w:pPr>
    <w:rPr>
      <w:lang w:val="en-US" w:eastAsia="en-US"/>
    </w:rPr>
  </w:style>
  <w:style w:type="character" w:customStyle="1" w:styleId="normaltextrun">
    <w:name w:val="normaltextrun"/>
    <w:basedOn w:val="DefaultParagraphFont"/>
    <w:rsid w:val="008615B4"/>
  </w:style>
  <w:style w:type="character" w:customStyle="1" w:styleId="ff5">
    <w:name w:val="ff5"/>
    <w:basedOn w:val="DefaultParagraphFont"/>
    <w:rsid w:val="008615B4"/>
  </w:style>
  <w:style w:type="character" w:customStyle="1" w:styleId="ffa">
    <w:name w:val="ffa"/>
    <w:basedOn w:val="DefaultParagraphFont"/>
    <w:rsid w:val="008615B4"/>
  </w:style>
  <w:style w:type="table" w:customStyle="1" w:styleId="PlainTable31">
    <w:name w:val="Plain Table 31"/>
    <w:basedOn w:val="TableNormal"/>
    <w:uiPriority w:val="99"/>
    <w:rsid w:val="008615B4"/>
    <w:rPr>
      <w:rFonts w:asciiTheme="minorHAnsi" w:eastAsiaTheme="minorEastAsia" w:hAnsiTheme="minorHAnsi" w:cstheme="minorBidi"/>
      <w:sz w:val="22"/>
      <w:szCs w:val="22"/>
      <w:lang w:val="nl-NL" w:eastAsia="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1">
    <w:name w:val="Grid Table 41"/>
    <w:basedOn w:val="TableNormal"/>
    <w:uiPriority w:val="49"/>
    <w:rsid w:val="008615B4"/>
    <w:rPr>
      <w:rFonts w:asciiTheme="minorHAnsi" w:eastAsiaTheme="minorEastAsia" w:hAnsiTheme="minorHAnsi" w:cstheme="minorBidi"/>
      <w:sz w:val="22"/>
      <w:szCs w:val="22"/>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99"/>
    <w:rsid w:val="008615B4"/>
    <w:rPr>
      <w:rFonts w:asciiTheme="minorHAnsi" w:eastAsiaTheme="minorEastAsia" w:hAnsiTheme="minorHAnsi" w:cstheme="minorBidi"/>
      <w:sz w:val="22"/>
      <w:szCs w:val="22"/>
      <w:lang w:val="nl-NL"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21">
    <w:name w:val="Grid Table 1 Light - Accent 21"/>
    <w:basedOn w:val="TableNormal"/>
    <w:uiPriority w:val="46"/>
    <w:rsid w:val="008615B4"/>
    <w:rPr>
      <w:rFonts w:asciiTheme="minorHAnsi" w:eastAsiaTheme="minorEastAsia" w:hAnsiTheme="minorHAnsi" w:cstheme="minorBidi"/>
      <w:sz w:val="22"/>
      <w:szCs w:val="22"/>
      <w:lang w:val="nl-NL" w:eastAsia="nl-N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99"/>
    <w:rsid w:val="008615B4"/>
    <w:rPr>
      <w:rFonts w:asciiTheme="minorHAnsi" w:eastAsiaTheme="minorEastAsia" w:hAnsiTheme="minorHAnsi" w:cstheme="minorBidi"/>
      <w:sz w:val="22"/>
      <w:szCs w:val="22"/>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
    <w:name w:val="body"/>
    <w:basedOn w:val="Normal"/>
    <w:qFormat/>
    <w:rsid w:val="008615B4"/>
    <w:pPr>
      <w:ind w:firstLine="720"/>
    </w:pPr>
    <w:rPr>
      <w:rFonts w:ascii="Times" w:eastAsiaTheme="minorEastAsia" w:hAnsi="Times" w:cs="Times"/>
      <w:color w:val="000000"/>
      <w:lang w:val="en-US" w:eastAsia="nl-NL"/>
    </w:rPr>
  </w:style>
  <w:style w:type="paragraph" w:customStyle="1" w:styleId="examples">
    <w:name w:val="examples"/>
    <w:basedOn w:val="ListParagraph"/>
    <w:qFormat/>
    <w:rsid w:val="008615B4"/>
    <w:pPr>
      <w:spacing w:line="480" w:lineRule="auto"/>
      <w:ind w:left="0"/>
    </w:pPr>
    <w:rPr>
      <w:rFonts w:ascii="Times New Roman" w:hAnsi="Times New Roman" w:cs="Times New Roman"/>
      <w:noProof/>
      <w:sz w:val="24"/>
      <w:szCs w:val="24"/>
    </w:rPr>
  </w:style>
  <w:style w:type="paragraph" w:customStyle="1" w:styleId="Header1">
    <w:name w:val="Header1"/>
    <w:basedOn w:val="Normal"/>
    <w:qFormat/>
    <w:rsid w:val="008615B4"/>
    <w:rPr>
      <w:rFonts w:asciiTheme="minorHAnsi" w:eastAsiaTheme="minorEastAsia" w:hAnsiTheme="minorHAnsi" w:cstheme="minorHAnsi"/>
      <w:b/>
      <w:color w:val="000000" w:themeColor="text1"/>
      <w:lang w:val="en-US" w:eastAsia="nl-NL"/>
    </w:rPr>
  </w:style>
  <w:style w:type="paragraph" w:customStyle="1" w:styleId="table">
    <w:name w:val="table"/>
    <w:basedOn w:val="examples"/>
    <w:qFormat/>
    <w:rsid w:val="008615B4"/>
    <w:pPr>
      <w:spacing w:line="240" w:lineRule="auto"/>
    </w:pPr>
  </w:style>
  <w:style w:type="paragraph" w:customStyle="1" w:styleId="heading">
    <w:name w:val="heading"/>
    <w:basedOn w:val="Header1"/>
    <w:rsid w:val="001D4A2A"/>
  </w:style>
  <w:style w:type="paragraph" w:customStyle="1" w:styleId="heaidng3">
    <w:name w:val="heaidng 3"/>
    <w:basedOn w:val="heading"/>
    <w:rsid w:val="001D4A2A"/>
  </w:style>
  <w:style w:type="character" w:styleId="FollowedHyperlink">
    <w:name w:val="FollowedHyperlink"/>
    <w:basedOn w:val="DefaultParagraphFont"/>
    <w:rsid w:val="00882B07"/>
    <w:rPr>
      <w:color w:val="800080" w:themeColor="followedHyperlink"/>
      <w:u w:val="single"/>
    </w:rPr>
  </w:style>
  <w:style w:type="table" w:customStyle="1" w:styleId="TableGridLight1">
    <w:name w:val="Table Grid Light1"/>
    <w:basedOn w:val="TableNormal"/>
    <w:rsid w:val="000841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rsid w:val="000841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lmyear">
    <w:name w:val="nlm_year"/>
    <w:basedOn w:val="DefaultParagraphFont"/>
    <w:rsid w:val="003848A6"/>
  </w:style>
  <w:style w:type="character" w:customStyle="1" w:styleId="nlmarticle-title">
    <w:name w:val="nlm_article-title"/>
    <w:basedOn w:val="DefaultParagraphFont"/>
    <w:rsid w:val="003848A6"/>
  </w:style>
  <w:style w:type="character" w:customStyle="1" w:styleId="nlmfpage">
    <w:name w:val="nlm_fpage"/>
    <w:basedOn w:val="DefaultParagraphFont"/>
    <w:rsid w:val="003848A6"/>
  </w:style>
  <w:style w:type="character" w:customStyle="1" w:styleId="nlmlpage">
    <w:name w:val="nlm_lpage"/>
    <w:basedOn w:val="DefaultParagraphFont"/>
    <w:rsid w:val="003848A6"/>
  </w:style>
  <w:style w:type="character" w:customStyle="1" w:styleId="ref-google">
    <w:name w:val="ref-google"/>
    <w:basedOn w:val="DefaultParagraphFont"/>
    <w:rsid w:val="003848A6"/>
  </w:style>
  <w:style w:type="paragraph" w:customStyle="1" w:styleId="citation">
    <w:name w:val="citation"/>
    <w:basedOn w:val="Normal"/>
    <w:rsid w:val="00E5597B"/>
    <w:pPr>
      <w:spacing w:before="100" w:beforeAutospacing="1" w:after="100" w:afterAutospacing="1" w:line="240" w:lineRule="auto"/>
    </w:pPr>
    <w:rPr>
      <w:lang w:val="it-IT" w:eastAsia="it-IT" w:bidi="bn-BD"/>
    </w:rPr>
  </w:style>
  <w:style w:type="character" w:customStyle="1" w:styleId="fm-vol-iss-date">
    <w:name w:val="fm-vol-iss-date"/>
    <w:basedOn w:val="DefaultParagraphFont"/>
    <w:rsid w:val="00821096"/>
  </w:style>
  <w:style w:type="character" w:customStyle="1" w:styleId="doi">
    <w:name w:val="doi"/>
    <w:basedOn w:val="DefaultParagraphFont"/>
    <w:rsid w:val="00821096"/>
  </w:style>
  <w:style w:type="paragraph" w:styleId="HTMLPreformatted">
    <w:name w:val="HTML Preformatted"/>
    <w:basedOn w:val="Normal"/>
    <w:link w:val="HTMLPreformattedChar"/>
    <w:uiPriority w:val="99"/>
    <w:semiHidden/>
    <w:unhideWhenUsed/>
    <w:rsid w:val="00FD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it-IT" w:eastAsia="it-IT" w:bidi="bn-BD"/>
    </w:rPr>
  </w:style>
  <w:style w:type="character" w:customStyle="1" w:styleId="HTMLPreformattedChar">
    <w:name w:val="HTML Preformatted Char"/>
    <w:basedOn w:val="DefaultParagraphFont"/>
    <w:link w:val="HTMLPreformatted"/>
    <w:uiPriority w:val="99"/>
    <w:semiHidden/>
    <w:rsid w:val="00FD5B43"/>
    <w:rPr>
      <w:rFonts w:ascii="Courier New" w:hAnsi="Courier New" w:cs="Courier New"/>
      <w:lang w:val="it-IT" w:eastAsia="it-IT" w:bidi="bn-BD"/>
    </w:rPr>
  </w:style>
  <w:style w:type="character" w:customStyle="1" w:styleId="m6230937899366942327biblio-authors">
    <w:name w:val="m_6230937899366942327biblio-authors"/>
    <w:basedOn w:val="DefaultParagraphFont"/>
    <w:rsid w:val="00F123D2"/>
  </w:style>
  <w:style w:type="character" w:customStyle="1" w:styleId="m6230937899366942327biblio-title">
    <w:name w:val="m_6230937899366942327biblio-title"/>
    <w:basedOn w:val="DefaultParagraphFont"/>
    <w:rsid w:val="00F123D2"/>
  </w:style>
  <w:style w:type="character" w:styleId="UnresolvedMention">
    <w:name w:val="Unresolved Mention"/>
    <w:basedOn w:val="DefaultParagraphFont"/>
    <w:uiPriority w:val="99"/>
    <w:semiHidden/>
    <w:unhideWhenUsed/>
    <w:rsid w:val="00BF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65">
      <w:bodyDiv w:val="1"/>
      <w:marLeft w:val="0"/>
      <w:marRight w:val="0"/>
      <w:marTop w:val="0"/>
      <w:marBottom w:val="0"/>
      <w:divBdr>
        <w:top w:val="none" w:sz="0" w:space="0" w:color="auto"/>
        <w:left w:val="none" w:sz="0" w:space="0" w:color="auto"/>
        <w:bottom w:val="none" w:sz="0" w:space="0" w:color="auto"/>
        <w:right w:val="none" w:sz="0" w:space="0" w:color="auto"/>
      </w:divBdr>
    </w:div>
    <w:div w:id="10451127">
      <w:bodyDiv w:val="1"/>
      <w:marLeft w:val="0"/>
      <w:marRight w:val="0"/>
      <w:marTop w:val="0"/>
      <w:marBottom w:val="0"/>
      <w:divBdr>
        <w:top w:val="none" w:sz="0" w:space="0" w:color="auto"/>
        <w:left w:val="none" w:sz="0" w:space="0" w:color="auto"/>
        <w:bottom w:val="none" w:sz="0" w:space="0" w:color="auto"/>
        <w:right w:val="none" w:sz="0" w:space="0" w:color="auto"/>
      </w:divBdr>
    </w:div>
    <w:div w:id="18360726">
      <w:bodyDiv w:val="1"/>
      <w:marLeft w:val="0"/>
      <w:marRight w:val="0"/>
      <w:marTop w:val="0"/>
      <w:marBottom w:val="0"/>
      <w:divBdr>
        <w:top w:val="none" w:sz="0" w:space="0" w:color="auto"/>
        <w:left w:val="none" w:sz="0" w:space="0" w:color="auto"/>
        <w:bottom w:val="none" w:sz="0" w:space="0" w:color="auto"/>
        <w:right w:val="none" w:sz="0" w:space="0" w:color="auto"/>
      </w:divBdr>
    </w:div>
    <w:div w:id="23290078">
      <w:bodyDiv w:val="1"/>
      <w:marLeft w:val="0"/>
      <w:marRight w:val="0"/>
      <w:marTop w:val="0"/>
      <w:marBottom w:val="0"/>
      <w:divBdr>
        <w:top w:val="none" w:sz="0" w:space="0" w:color="auto"/>
        <w:left w:val="none" w:sz="0" w:space="0" w:color="auto"/>
        <w:bottom w:val="none" w:sz="0" w:space="0" w:color="auto"/>
        <w:right w:val="none" w:sz="0" w:space="0" w:color="auto"/>
      </w:divBdr>
    </w:div>
    <w:div w:id="31543954">
      <w:bodyDiv w:val="1"/>
      <w:marLeft w:val="0"/>
      <w:marRight w:val="0"/>
      <w:marTop w:val="0"/>
      <w:marBottom w:val="0"/>
      <w:divBdr>
        <w:top w:val="none" w:sz="0" w:space="0" w:color="auto"/>
        <w:left w:val="none" w:sz="0" w:space="0" w:color="auto"/>
        <w:bottom w:val="none" w:sz="0" w:space="0" w:color="auto"/>
        <w:right w:val="none" w:sz="0" w:space="0" w:color="auto"/>
      </w:divBdr>
    </w:div>
    <w:div w:id="46925919">
      <w:bodyDiv w:val="1"/>
      <w:marLeft w:val="0"/>
      <w:marRight w:val="0"/>
      <w:marTop w:val="0"/>
      <w:marBottom w:val="0"/>
      <w:divBdr>
        <w:top w:val="none" w:sz="0" w:space="0" w:color="auto"/>
        <w:left w:val="none" w:sz="0" w:space="0" w:color="auto"/>
        <w:bottom w:val="none" w:sz="0" w:space="0" w:color="auto"/>
        <w:right w:val="none" w:sz="0" w:space="0" w:color="auto"/>
      </w:divBdr>
    </w:div>
    <w:div w:id="57093875">
      <w:bodyDiv w:val="1"/>
      <w:marLeft w:val="0"/>
      <w:marRight w:val="0"/>
      <w:marTop w:val="0"/>
      <w:marBottom w:val="0"/>
      <w:divBdr>
        <w:top w:val="none" w:sz="0" w:space="0" w:color="auto"/>
        <w:left w:val="none" w:sz="0" w:space="0" w:color="auto"/>
        <w:bottom w:val="none" w:sz="0" w:space="0" w:color="auto"/>
        <w:right w:val="none" w:sz="0" w:space="0" w:color="auto"/>
      </w:divBdr>
      <w:divsChild>
        <w:div w:id="439109633">
          <w:marLeft w:val="450"/>
          <w:marRight w:val="4800"/>
          <w:marTop w:val="0"/>
          <w:marBottom w:val="0"/>
          <w:divBdr>
            <w:top w:val="none" w:sz="0" w:space="0" w:color="auto"/>
            <w:left w:val="none" w:sz="0" w:space="0" w:color="auto"/>
            <w:bottom w:val="none" w:sz="0" w:space="0" w:color="auto"/>
            <w:right w:val="none" w:sz="0" w:space="0" w:color="auto"/>
          </w:divBdr>
        </w:div>
        <w:div w:id="915361270">
          <w:marLeft w:val="450"/>
          <w:marRight w:val="4800"/>
          <w:marTop w:val="0"/>
          <w:marBottom w:val="0"/>
          <w:divBdr>
            <w:top w:val="none" w:sz="0" w:space="0" w:color="auto"/>
            <w:left w:val="none" w:sz="0" w:space="0" w:color="auto"/>
            <w:bottom w:val="none" w:sz="0" w:space="0" w:color="auto"/>
            <w:right w:val="none" w:sz="0" w:space="0" w:color="auto"/>
          </w:divBdr>
        </w:div>
        <w:div w:id="1793210126">
          <w:marLeft w:val="450"/>
          <w:marRight w:val="4800"/>
          <w:marTop w:val="0"/>
          <w:marBottom w:val="0"/>
          <w:divBdr>
            <w:top w:val="none" w:sz="0" w:space="0" w:color="auto"/>
            <w:left w:val="none" w:sz="0" w:space="0" w:color="auto"/>
            <w:bottom w:val="none" w:sz="0" w:space="0" w:color="auto"/>
            <w:right w:val="none" w:sz="0" w:space="0" w:color="auto"/>
          </w:divBdr>
        </w:div>
      </w:divsChild>
    </w:div>
    <w:div w:id="63991943">
      <w:bodyDiv w:val="1"/>
      <w:marLeft w:val="0"/>
      <w:marRight w:val="0"/>
      <w:marTop w:val="0"/>
      <w:marBottom w:val="0"/>
      <w:divBdr>
        <w:top w:val="none" w:sz="0" w:space="0" w:color="auto"/>
        <w:left w:val="none" w:sz="0" w:space="0" w:color="auto"/>
        <w:bottom w:val="none" w:sz="0" w:space="0" w:color="auto"/>
        <w:right w:val="none" w:sz="0" w:space="0" w:color="auto"/>
      </w:divBdr>
    </w:div>
    <w:div w:id="79761781">
      <w:bodyDiv w:val="1"/>
      <w:marLeft w:val="0"/>
      <w:marRight w:val="0"/>
      <w:marTop w:val="0"/>
      <w:marBottom w:val="0"/>
      <w:divBdr>
        <w:top w:val="none" w:sz="0" w:space="0" w:color="auto"/>
        <w:left w:val="none" w:sz="0" w:space="0" w:color="auto"/>
        <w:bottom w:val="none" w:sz="0" w:space="0" w:color="auto"/>
        <w:right w:val="none" w:sz="0" w:space="0" w:color="auto"/>
      </w:divBdr>
    </w:div>
    <w:div w:id="81726013">
      <w:bodyDiv w:val="1"/>
      <w:marLeft w:val="0"/>
      <w:marRight w:val="0"/>
      <w:marTop w:val="0"/>
      <w:marBottom w:val="0"/>
      <w:divBdr>
        <w:top w:val="none" w:sz="0" w:space="0" w:color="auto"/>
        <w:left w:val="none" w:sz="0" w:space="0" w:color="auto"/>
        <w:bottom w:val="none" w:sz="0" w:space="0" w:color="auto"/>
        <w:right w:val="none" w:sz="0" w:space="0" w:color="auto"/>
      </w:divBdr>
    </w:div>
    <w:div w:id="84886838">
      <w:bodyDiv w:val="1"/>
      <w:marLeft w:val="0"/>
      <w:marRight w:val="0"/>
      <w:marTop w:val="0"/>
      <w:marBottom w:val="0"/>
      <w:divBdr>
        <w:top w:val="none" w:sz="0" w:space="0" w:color="auto"/>
        <w:left w:val="none" w:sz="0" w:space="0" w:color="auto"/>
        <w:bottom w:val="none" w:sz="0" w:space="0" w:color="auto"/>
        <w:right w:val="none" w:sz="0" w:space="0" w:color="auto"/>
      </w:divBdr>
    </w:div>
    <w:div w:id="97141890">
      <w:bodyDiv w:val="1"/>
      <w:marLeft w:val="0"/>
      <w:marRight w:val="0"/>
      <w:marTop w:val="0"/>
      <w:marBottom w:val="0"/>
      <w:divBdr>
        <w:top w:val="none" w:sz="0" w:space="0" w:color="auto"/>
        <w:left w:val="none" w:sz="0" w:space="0" w:color="auto"/>
        <w:bottom w:val="none" w:sz="0" w:space="0" w:color="auto"/>
        <w:right w:val="none" w:sz="0" w:space="0" w:color="auto"/>
      </w:divBdr>
    </w:div>
    <w:div w:id="129788964">
      <w:bodyDiv w:val="1"/>
      <w:marLeft w:val="0"/>
      <w:marRight w:val="0"/>
      <w:marTop w:val="0"/>
      <w:marBottom w:val="0"/>
      <w:divBdr>
        <w:top w:val="none" w:sz="0" w:space="0" w:color="auto"/>
        <w:left w:val="none" w:sz="0" w:space="0" w:color="auto"/>
        <w:bottom w:val="none" w:sz="0" w:space="0" w:color="auto"/>
        <w:right w:val="none" w:sz="0" w:space="0" w:color="auto"/>
      </w:divBdr>
    </w:div>
    <w:div w:id="132454361">
      <w:bodyDiv w:val="1"/>
      <w:marLeft w:val="0"/>
      <w:marRight w:val="0"/>
      <w:marTop w:val="0"/>
      <w:marBottom w:val="0"/>
      <w:divBdr>
        <w:top w:val="none" w:sz="0" w:space="0" w:color="auto"/>
        <w:left w:val="none" w:sz="0" w:space="0" w:color="auto"/>
        <w:bottom w:val="none" w:sz="0" w:space="0" w:color="auto"/>
        <w:right w:val="none" w:sz="0" w:space="0" w:color="auto"/>
      </w:divBdr>
    </w:div>
    <w:div w:id="143359511">
      <w:bodyDiv w:val="1"/>
      <w:marLeft w:val="0"/>
      <w:marRight w:val="0"/>
      <w:marTop w:val="0"/>
      <w:marBottom w:val="0"/>
      <w:divBdr>
        <w:top w:val="none" w:sz="0" w:space="0" w:color="auto"/>
        <w:left w:val="none" w:sz="0" w:space="0" w:color="auto"/>
        <w:bottom w:val="none" w:sz="0" w:space="0" w:color="auto"/>
        <w:right w:val="none" w:sz="0" w:space="0" w:color="auto"/>
      </w:divBdr>
    </w:div>
    <w:div w:id="147482958">
      <w:bodyDiv w:val="1"/>
      <w:marLeft w:val="0"/>
      <w:marRight w:val="0"/>
      <w:marTop w:val="0"/>
      <w:marBottom w:val="0"/>
      <w:divBdr>
        <w:top w:val="none" w:sz="0" w:space="0" w:color="auto"/>
        <w:left w:val="none" w:sz="0" w:space="0" w:color="auto"/>
        <w:bottom w:val="none" w:sz="0" w:space="0" w:color="auto"/>
        <w:right w:val="none" w:sz="0" w:space="0" w:color="auto"/>
      </w:divBdr>
    </w:div>
    <w:div w:id="163396963">
      <w:bodyDiv w:val="1"/>
      <w:marLeft w:val="0"/>
      <w:marRight w:val="0"/>
      <w:marTop w:val="0"/>
      <w:marBottom w:val="0"/>
      <w:divBdr>
        <w:top w:val="none" w:sz="0" w:space="0" w:color="auto"/>
        <w:left w:val="none" w:sz="0" w:space="0" w:color="auto"/>
        <w:bottom w:val="none" w:sz="0" w:space="0" w:color="auto"/>
        <w:right w:val="none" w:sz="0" w:space="0" w:color="auto"/>
      </w:divBdr>
    </w:div>
    <w:div w:id="167647063">
      <w:bodyDiv w:val="1"/>
      <w:marLeft w:val="0"/>
      <w:marRight w:val="0"/>
      <w:marTop w:val="0"/>
      <w:marBottom w:val="0"/>
      <w:divBdr>
        <w:top w:val="none" w:sz="0" w:space="0" w:color="auto"/>
        <w:left w:val="none" w:sz="0" w:space="0" w:color="auto"/>
        <w:bottom w:val="none" w:sz="0" w:space="0" w:color="auto"/>
        <w:right w:val="none" w:sz="0" w:space="0" w:color="auto"/>
      </w:divBdr>
    </w:div>
    <w:div w:id="168756013">
      <w:bodyDiv w:val="1"/>
      <w:marLeft w:val="0"/>
      <w:marRight w:val="0"/>
      <w:marTop w:val="0"/>
      <w:marBottom w:val="0"/>
      <w:divBdr>
        <w:top w:val="none" w:sz="0" w:space="0" w:color="auto"/>
        <w:left w:val="none" w:sz="0" w:space="0" w:color="auto"/>
        <w:bottom w:val="none" w:sz="0" w:space="0" w:color="auto"/>
        <w:right w:val="none" w:sz="0" w:space="0" w:color="auto"/>
      </w:divBdr>
    </w:div>
    <w:div w:id="203833920">
      <w:bodyDiv w:val="1"/>
      <w:marLeft w:val="0"/>
      <w:marRight w:val="0"/>
      <w:marTop w:val="0"/>
      <w:marBottom w:val="0"/>
      <w:divBdr>
        <w:top w:val="none" w:sz="0" w:space="0" w:color="auto"/>
        <w:left w:val="none" w:sz="0" w:space="0" w:color="auto"/>
        <w:bottom w:val="none" w:sz="0" w:space="0" w:color="auto"/>
        <w:right w:val="none" w:sz="0" w:space="0" w:color="auto"/>
      </w:divBdr>
    </w:div>
    <w:div w:id="207574908">
      <w:bodyDiv w:val="1"/>
      <w:marLeft w:val="0"/>
      <w:marRight w:val="0"/>
      <w:marTop w:val="0"/>
      <w:marBottom w:val="0"/>
      <w:divBdr>
        <w:top w:val="none" w:sz="0" w:space="0" w:color="auto"/>
        <w:left w:val="none" w:sz="0" w:space="0" w:color="auto"/>
        <w:bottom w:val="none" w:sz="0" w:space="0" w:color="auto"/>
        <w:right w:val="none" w:sz="0" w:space="0" w:color="auto"/>
      </w:divBdr>
    </w:div>
    <w:div w:id="248269449">
      <w:bodyDiv w:val="1"/>
      <w:marLeft w:val="0"/>
      <w:marRight w:val="0"/>
      <w:marTop w:val="0"/>
      <w:marBottom w:val="0"/>
      <w:divBdr>
        <w:top w:val="none" w:sz="0" w:space="0" w:color="auto"/>
        <w:left w:val="none" w:sz="0" w:space="0" w:color="auto"/>
        <w:bottom w:val="none" w:sz="0" w:space="0" w:color="auto"/>
        <w:right w:val="none" w:sz="0" w:space="0" w:color="auto"/>
      </w:divBdr>
    </w:div>
    <w:div w:id="272177786">
      <w:bodyDiv w:val="1"/>
      <w:marLeft w:val="0"/>
      <w:marRight w:val="0"/>
      <w:marTop w:val="0"/>
      <w:marBottom w:val="0"/>
      <w:divBdr>
        <w:top w:val="none" w:sz="0" w:space="0" w:color="auto"/>
        <w:left w:val="none" w:sz="0" w:space="0" w:color="auto"/>
        <w:bottom w:val="none" w:sz="0" w:space="0" w:color="auto"/>
        <w:right w:val="none" w:sz="0" w:space="0" w:color="auto"/>
      </w:divBdr>
    </w:div>
    <w:div w:id="277611562">
      <w:bodyDiv w:val="1"/>
      <w:marLeft w:val="0"/>
      <w:marRight w:val="0"/>
      <w:marTop w:val="0"/>
      <w:marBottom w:val="0"/>
      <w:divBdr>
        <w:top w:val="none" w:sz="0" w:space="0" w:color="auto"/>
        <w:left w:val="none" w:sz="0" w:space="0" w:color="auto"/>
        <w:bottom w:val="none" w:sz="0" w:space="0" w:color="auto"/>
        <w:right w:val="none" w:sz="0" w:space="0" w:color="auto"/>
      </w:divBdr>
    </w:div>
    <w:div w:id="283654902">
      <w:bodyDiv w:val="1"/>
      <w:marLeft w:val="0"/>
      <w:marRight w:val="0"/>
      <w:marTop w:val="0"/>
      <w:marBottom w:val="0"/>
      <w:divBdr>
        <w:top w:val="none" w:sz="0" w:space="0" w:color="auto"/>
        <w:left w:val="none" w:sz="0" w:space="0" w:color="auto"/>
        <w:bottom w:val="none" w:sz="0" w:space="0" w:color="auto"/>
        <w:right w:val="none" w:sz="0" w:space="0" w:color="auto"/>
      </w:divBdr>
    </w:div>
    <w:div w:id="286663040">
      <w:bodyDiv w:val="1"/>
      <w:marLeft w:val="0"/>
      <w:marRight w:val="0"/>
      <w:marTop w:val="0"/>
      <w:marBottom w:val="0"/>
      <w:divBdr>
        <w:top w:val="none" w:sz="0" w:space="0" w:color="auto"/>
        <w:left w:val="none" w:sz="0" w:space="0" w:color="auto"/>
        <w:bottom w:val="none" w:sz="0" w:space="0" w:color="auto"/>
        <w:right w:val="none" w:sz="0" w:space="0" w:color="auto"/>
      </w:divBdr>
    </w:div>
    <w:div w:id="287712592">
      <w:bodyDiv w:val="1"/>
      <w:marLeft w:val="0"/>
      <w:marRight w:val="0"/>
      <w:marTop w:val="0"/>
      <w:marBottom w:val="0"/>
      <w:divBdr>
        <w:top w:val="none" w:sz="0" w:space="0" w:color="auto"/>
        <w:left w:val="none" w:sz="0" w:space="0" w:color="auto"/>
        <w:bottom w:val="none" w:sz="0" w:space="0" w:color="auto"/>
        <w:right w:val="none" w:sz="0" w:space="0" w:color="auto"/>
      </w:divBdr>
    </w:div>
    <w:div w:id="292291045">
      <w:bodyDiv w:val="1"/>
      <w:marLeft w:val="0"/>
      <w:marRight w:val="0"/>
      <w:marTop w:val="0"/>
      <w:marBottom w:val="0"/>
      <w:divBdr>
        <w:top w:val="none" w:sz="0" w:space="0" w:color="auto"/>
        <w:left w:val="none" w:sz="0" w:space="0" w:color="auto"/>
        <w:bottom w:val="none" w:sz="0" w:space="0" w:color="auto"/>
        <w:right w:val="none" w:sz="0" w:space="0" w:color="auto"/>
      </w:divBdr>
      <w:divsChild>
        <w:div w:id="2034456769">
          <w:marLeft w:val="0"/>
          <w:marRight w:val="0"/>
          <w:marTop w:val="0"/>
          <w:marBottom w:val="0"/>
          <w:divBdr>
            <w:top w:val="none" w:sz="0" w:space="0" w:color="auto"/>
            <w:left w:val="none" w:sz="0" w:space="0" w:color="auto"/>
            <w:bottom w:val="none" w:sz="0" w:space="0" w:color="auto"/>
            <w:right w:val="none" w:sz="0" w:space="0" w:color="auto"/>
          </w:divBdr>
        </w:div>
      </w:divsChild>
    </w:div>
    <w:div w:id="314459983">
      <w:bodyDiv w:val="1"/>
      <w:marLeft w:val="0"/>
      <w:marRight w:val="0"/>
      <w:marTop w:val="0"/>
      <w:marBottom w:val="0"/>
      <w:divBdr>
        <w:top w:val="none" w:sz="0" w:space="0" w:color="auto"/>
        <w:left w:val="none" w:sz="0" w:space="0" w:color="auto"/>
        <w:bottom w:val="none" w:sz="0" w:space="0" w:color="auto"/>
        <w:right w:val="none" w:sz="0" w:space="0" w:color="auto"/>
      </w:divBdr>
    </w:div>
    <w:div w:id="326135353">
      <w:bodyDiv w:val="1"/>
      <w:marLeft w:val="0"/>
      <w:marRight w:val="0"/>
      <w:marTop w:val="0"/>
      <w:marBottom w:val="0"/>
      <w:divBdr>
        <w:top w:val="none" w:sz="0" w:space="0" w:color="auto"/>
        <w:left w:val="none" w:sz="0" w:space="0" w:color="auto"/>
        <w:bottom w:val="none" w:sz="0" w:space="0" w:color="auto"/>
        <w:right w:val="none" w:sz="0" w:space="0" w:color="auto"/>
      </w:divBdr>
    </w:div>
    <w:div w:id="342392692">
      <w:bodyDiv w:val="1"/>
      <w:marLeft w:val="0"/>
      <w:marRight w:val="0"/>
      <w:marTop w:val="0"/>
      <w:marBottom w:val="0"/>
      <w:divBdr>
        <w:top w:val="none" w:sz="0" w:space="0" w:color="auto"/>
        <w:left w:val="none" w:sz="0" w:space="0" w:color="auto"/>
        <w:bottom w:val="none" w:sz="0" w:space="0" w:color="auto"/>
        <w:right w:val="none" w:sz="0" w:space="0" w:color="auto"/>
      </w:divBdr>
    </w:div>
    <w:div w:id="348609363">
      <w:bodyDiv w:val="1"/>
      <w:marLeft w:val="0"/>
      <w:marRight w:val="0"/>
      <w:marTop w:val="0"/>
      <w:marBottom w:val="0"/>
      <w:divBdr>
        <w:top w:val="none" w:sz="0" w:space="0" w:color="auto"/>
        <w:left w:val="none" w:sz="0" w:space="0" w:color="auto"/>
        <w:bottom w:val="none" w:sz="0" w:space="0" w:color="auto"/>
        <w:right w:val="none" w:sz="0" w:space="0" w:color="auto"/>
      </w:divBdr>
    </w:div>
    <w:div w:id="349533018">
      <w:bodyDiv w:val="1"/>
      <w:marLeft w:val="0"/>
      <w:marRight w:val="0"/>
      <w:marTop w:val="0"/>
      <w:marBottom w:val="0"/>
      <w:divBdr>
        <w:top w:val="none" w:sz="0" w:space="0" w:color="auto"/>
        <w:left w:val="none" w:sz="0" w:space="0" w:color="auto"/>
        <w:bottom w:val="none" w:sz="0" w:space="0" w:color="auto"/>
        <w:right w:val="none" w:sz="0" w:space="0" w:color="auto"/>
      </w:divBdr>
    </w:div>
    <w:div w:id="374237800">
      <w:bodyDiv w:val="1"/>
      <w:marLeft w:val="0"/>
      <w:marRight w:val="0"/>
      <w:marTop w:val="0"/>
      <w:marBottom w:val="0"/>
      <w:divBdr>
        <w:top w:val="none" w:sz="0" w:space="0" w:color="auto"/>
        <w:left w:val="none" w:sz="0" w:space="0" w:color="auto"/>
        <w:bottom w:val="none" w:sz="0" w:space="0" w:color="auto"/>
        <w:right w:val="none" w:sz="0" w:space="0" w:color="auto"/>
      </w:divBdr>
    </w:div>
    <w:div w:id="394279906">
      <w:bodyDiv w:val="1"/>
      <w:marLeft w:val="0"/>
      <w:marRight w:val="0"/>
      <w:marTop w:val="0"/>
      <w:marBottom w:val="0"/>
      <w:divBdr>
        <w:top w:val="none" w:sz="0" w:space="0" w:color="auto"/>
        <w:left w:val="none" w:sz="0" w:space="0" w:color="auto"/>
        <w:bottom w:val="none" w:sz="0" w:space="0" w:color="auto"/>
        <w:right w:val="none" w:sz="0" w:space="0" w:color="auto"/>
      </w:divBdr>
    </w:div>
    <w:div w:id="405498968">
      <w:bodyDiv w:val="1"/>
      <w:marLeft w:val="0"/>
      <w:marRight w:val="0"/>
      <w:marTop w:val="0"/>
      <w:marBottom w:val="0"/>
      <w:divBdr>
        <w:top w:val="none" w:sz="0" w:space="0" w:color="auto"/>
        <w:left w:val="none" w:sz="0" w:space="0" w:color="auto"/>
        <w:bottom w:val="none" w:sz="0" w:space="0" w:color="auto"/>
        <w:right w:val="none" w:sz="0" w:space="0" w:color="auto"/>
      </w:divBdr>
    </w:div>
    <w:div w:id="513611394">
      <w:bodyDiv w:val="1"/>
      <w:marLeft w:val="0"/>
      <w:marRight w:val="0"/>
      <w:marTop w:val="0"/>
      <w:marBottom w:val="0"/>
      <w:divBdr>
        <w:top w:val="none" w:sz="0" w:space="0" w:color="auto"/>
        <w:left w:val="none" w:sz="0" w:space="0" w:color="auto"/>
        <w:bottom w:val="none" w:sz="0" w:space="0" w:color="auto"/>
        <w:right w:val="none" w:sz="0" w:space="0" w:color="auto"/>
      </w:divBdr>
    </w:div>
    <w:div w:id="518661500">
      <w:bodyDiv w:val="1"/>
      <w:marLeft w:val="0"/>
      <w:marRight w:val="0"/>
      <w:marTop w:val="0"/>
      <w:marBottom w:val="0"/>
      <w:divBdr>
        <w:top w:val="none" w:sz="0" w:space="0" w:color="auto"/>
        <w:left w:val="none" w:sz="0" w:space="0" w:color="auto"/>
        <w:bottom w:val="none" w:sz="0" w:space="0" w:color="auto"/>
        <w:right w:val="none" w:sz="0" w:space="0" w:color="auto"/>
      </w:divBdr>
    </w:div>
    <w:div w:id="540478049">
      <w:bodyDiv w:val="1"/>
      <w:marLeft w:val="0"/>
      <w:marRight w:val="0"/>
      <w:marTop w:val="0"/>
      <w:marBottom w:val="0"/>
      <w:divBdr>
        <w:top w:val="none" w:sz="0" w:space="0" w:color="auto"/>
        <w:left w:val="none" w:sz="0" w:space="0" w:color="auto"/>
        <w:bottom w:val="none" w:sz="0" w:space="0" w:color="auto"/>
        <w:right w:val="none" w:sz="0" w:space="0" w:color="auto"/>
      </w:divBdr>
    </w:div>
    <w:div w:id="545684376">
      <w:bodyDiv w:val="1"/>
      <w:marLeft w:val="0"/>
      <w:marRight w:val="0"/>
      <w:marTop w:val="0"/>
      <w:marBottom w:val="0"/>
      <w:divBdr>
        <w:top w:val="none" w:sz="0" w:space="0" w:color="auto"/>
        <w:left w:val="none" w:sz="0" w:space="0" w:color="auto"/>
        <w:bottom w:val="none" w:sz="0" w:space="0" w:color="auto"/>
        <w:right w:val="none" w:sz="0" w:space="0" w:color="auto"/>
      </w:divBdr>
    </w:div>
    <w:div w:id="550767739">
      <w:bodyDiv w:val="1"/>
      <w:marLeft w:val="0"/>
      <w:marRight w:val="0"/>
      <w:marTop w:val="0"/>
      <w:marBottom w:val="0"/>
      <w:divBdr>
        <w:top w:val="none" w:sz="0" w:space="0" w:color="auto"/>
        <w:left w:val="none" w:sz="0" w:space="0" w:color="auto"/>
        <w:bottom w:val="none" w:sz="0" w:space="0" w:color="auto"/>
        <w:right w:val="none" w:sz="0" w:space="0" w:color="auto"/>
      </w:divBdr>
    </w:div>
    <w:div w:id="568611572">
      <w:bodyDiv w:val="1"/>
      <w:marLeft w:val="0"/>
      <w:marRight w:val="0"/>
      <w:marTop w:val="0"/>
      <w:marBottom w:val="0"/>
      <w:divBdr>
        <w:top w:val="none" w:sz="0" w:space="0" w:color="auto"/>
        <w:left w:val="none" w:sz="0" w:space="0" w:color="auto"/>
        <w:bottom w:val="none" w:sz="0" w:space="0" w:color="auto"/>
        <w:right w:val="none" w:sz="0" w:space="0" w:color="auto"/>
      </w:divBdr>
    </w:div>
    <w:div w:id="591813497">
      <w:bodyDiv w:val="1"/>
      <w:marLeft w:val="0"/>
      <w:marRight w:val="0"/>
      <w:marTop w:val="0"/>
      <w:marBottom w:val="0"/>
      <w:divBdr>
        <w:top w:val="none" w:sz="0" w:space="0" w:color="auto"/>
        <w:left w:val="none" w:sz="0" w:space="0" w:color="auto"/>
        <w:bottom w:val="none" w:sz="0" w:space="0" w:color="auto"/>
        <w:right w:val="none" w:sz="0" w:space="0" w:color="auto"/>
      </w:divBdr>
    </w:div>
    <w:div w:id="626668721">
      <w:bodyDiv w:val="1"/>
      <w:marLeft w:val="0"/>
      <w:marRight w:val="0"/>
      <w:marTop w:val="0"/>
      <w:marBottom w:val="0"/>
      <w:divBdr>
        <w:top w:val="none" w:sz="0" w:space="0" w:color="auto"/>
        <w:left w:val="none" w:sz="0" w:space="0" w:color="auto"/>
        <w:bottom w:val="none" w:sz="0" w:space="0" w:color="auto"/>
        <w:right w:val="none" w:sz="0" w:space="0" w:color="auto"/>
      </w:divBdr>
    </w:div>
    <w:div w:id="653140341">
      <w:bodyDiv w:val="1"/>
      <w:marLeft w:val="0"/>
      <w:marRight w:val="0"/>
      <w:marTop w:val="0"/>
      <w:marBottom w:val="0"/>
      <w:divBdr>
        <w:top w:val="none" w:sz="0" w:space="0" w:color="auto"/>
        <w:left w:val="none" w:sz="0" w:space="0" w:color="auto"/>
        <w:bottom w:val="none" w:sz="0" w:space="0" w:color="auto"/>
        <w:right w:val="none" w:sz="0" w:space="0" w:color="auto"/>
      </w:divBdr>
    </w:div>
    <w:div w:id="678388274">
      <w:bodyDiv w:val="1"/>
      <w:marLeft w:val="0"/>
      <w:marRight w:val="0"/>
      <w:marTop w:val="0"/>
      <w:marBottom w:val="0"/>
      <w:divBdr>
        <w:top w:val="none" w:sz="0" w:space="0" w:color="auto"/>
        <w:left w:val="none" w:sz="0" w:space="0" w:color="auto"/>
        <w:bottom w:val="none" w:sz="0" w:space="0" w:color="auto"/>
        <w:right w:val="none" w:sz="0" w:space="0" w:color="auto"/>
      </w:divBdr>
    </w:div>
    <w:div w:id="681976106">
      <w:bodyDiv w:val="1"/>
      <w:marLeft w:val="0"/>
      <w:marRight w:val="0"/>
      <w:marTop w:val="0"/>
      <w:marBottom w:val="0"/>
      <w:divBdr>
        <w:top w:val="none" w:sz="0" w:space="0" w:color="auto"/>
        <w:left w:val="none" w:sz="0" w:space="0" w:color="auto"/>
        <w:bottom w:val="none" w:sz="0" w:space="0" w:color="auto"/>
        <w:right w:val="none" w:sz="0" w:space="0" w:color="auto"/>
      </w:divBdr>
    </w:div>
    <w:div w:id="695623339">
      <w:bodyDiv w:val="1"/>
      <w:marLeft w:val="0"/>
      <w:marRight w:val="0"/>
      <w:marTop w:val="0"/>
      <w:marBottom w:val="0"/>
      <w:divBdr>
        <w:top w:val="none" w:sz="0" w:space="0" w:color="auto"/>
        <w:left w:val="none" w:sz="0" w:space="0" w:color="auto"/>
        <w:bottom w:val="none" w:sz="0" w:space="0" w:color="auto"/>
        <w:right w:val="none" w:sz="0" w:space="0" w:color="auto"/>
      </w:divBdr>
    </w:div>
    <w:div w:id="696153791">
      <w:bodyDiv w:val="1"/>
      <w:marLeft w:val="0"/>
      <w:marRight w:val="0"/>
      <w:marTop w:val="0"/>
      <w:marBottom w:val="0"/>
      <w:divBdr>
        <w:top w:val="none" w:sz="0" w:space="0" w:color="auto"/>
        <w:left w:val="none" w:sz="0" w:space="0" w:color="auto"/>
        <w:bottom w:val="none" w:sz="0" w:space="0" w:color="auto"/>
        <w:right w:val="none" w:sz="0" w:space="0" w:color="auto"/>
      </w:divBdr>
    </w:div>
    <w:div w:id="696808140">
      <w:bodyDiv w:val="1"/>
      <w:marLeft w:val="0"/>
      <w:marRight w:val="0"/>
      <w:marTop w:val="0"/>
      <w:marBottom w:val="0"/>
      <w:divBdr>
        <w:top w:val="none" w:sz="0" w:space="0" w:color="auto"/>
        <w:left w:val="none" w:sz="0" w:space="0" w:color="auto"/>
        <w:bottom w:val="none" w:sz="0" w:space="0" w:color="auto"/>
        <w:right w:val="none" w:sz="0" w:space="0" w:color="auto"/>
      </w:divBdr>
    </w:div>
    <w:div w:id="741609628">
      <w:bodyDiv w:val="1"/>
      <w:marLeft w:val="0"/>
      <w:marRight w:val="0"/>
      <w:marTop w:val="0"/>
      <w:marBottom w:val="0"/>
      <w:divBdr>
        <w:top w:val="none" w:sz="0" w:space="0" w:color="auto"/>
        <w:left w:val="none" w:sz="0" w:space="0" w:color="auto"/>
        <w:bottom w:val="none" w:sz="0" w:space="0" w:color="auto"/>
        <w:right w:val="none" w:sz="0" w:space="0" w:color="auto"/>
      </w:divBdr>
    </w:div>
    <w:div w:id="755787516">
      <w:bodyDiv w:val="1"/>
      <w:marLeft w:val="0"/>
      <w:marRight w:val="0"/>
      <w:marTop w:val="0"/>
      <w:marBottom w:val="0"/>
      <w:divBdr>
        <w:top w:val="none" w:sz="0" w:space="0" w:color="auto"/>
        <w:left w:val="none" w:sz="0" w:space="0" w:color="auto"/>
        <w:bottom w:val="none" w:sz="0" w:space="0" w:color="auto"/>
        <w:right w:val="none" w:sz="0" w:space="0" w:color="auto"/>
      </w:divBdr>
    </w:div>
    <w:div w:id="760956972">
      <w:bodyDiv w:val="1"/>
      <w:marLeft w:val="0"/>
      <w:marRight w:val="0"/>
      <w:marTop w:val="0"/>
      <w:marBottom w:val="0"/>
      <w:divBdr>
        <w:top w:val="none" w:sz="0" w:space="0" w:color="auto"/>
        <w:left w:val="none" w:sz="0" w:space="0" w:color="auto"/>
        <w:bottom w:val="none" w:sz="0" w:space="0" w:color="auto"/>
        <w:right w:val="none" w:sz="0" w:space="0" w:color="auto"/>
      </w:divBdr>
    </w:div>
    <w:div w:id="769859697">
      <w:bodyDiv w:val="1"/>
      <w:marLeft w:val="0"/>
      <w:marRight w:val="0"/>
      <w:marTop w:val="0"/>
      <w:marBottom w:val="0"/>
      <w:divBdr>
        <w:top w:val="none" w:sz="0" w:space="0" w:color="auto"/>
        <w:left w:val="none" w:sz="0" w:space="0" w:color="auto"/>
        <w:bottom w:val="none" w:sz="0" w:space="0" w:color="auto"/>
        <w:right w:val="none" w:sz="0" w:space="0" w:color="auto"/>
      </w:divBdr>
    </w:div>
    <w:div w:id="773129830">
      <w:bodyDiv w:val="1"/>
      <w:marLeft w:val="0"/>
      <w:marRight w:val="0"/>
      <w:marTop w:val="0"/>
      <w:marBottom w:val="0"/>
      <w:divBdr>
        <w:top w:val="none" w:sz="0" w:space="0" w:color="auto"/>
        <w:left w:val="none" w:sz="0" w:space="0" w:color="auto"/>
        <w:bottom w:val="none" w:sz="0" w:space="0" w:color="auto"/>
        <w:right w:val="none" w:sz="0" w:space="0" w:color="auto"/>
      </w:divBdr>
    </w:div>
    <w:div w:id="788089154">
      <w:bodyDiv w:val="1"/>
      <w:marLeft w:val="0"/>
      <w:marRight w:val="0"/>
      <w:marTop w:val="0"/>
      <w:marBottom w:val="0"/>
      <w:divBdr>
        <w:top w:val="none" w:sz="0" w:space="0" w:color="auto"/>
        <w:left w:val="none" w:sz="0" w:space="0" w:color="auto"/>
        <w:bottom w:val="none" w:sz="0" w:space="0" w:color="auto"/>
        <w:right w:val="none" w:sz="0" w:space="0" w:color="auto"/>
      </w:divBdr>
    </w:div>
    <w:div w:id="819617389">
      <w:bodyDiv w:val="1"/>
      <w:marLeft w:val="0"/>
      <w:marRight w:val="0"/>
      <w:marTop w:val="0"/>
      <w:marBottom w:val="0"/>
      <w:divBdr>
        <w:top w:val="none" w:sz="0" w:space="0" w:color="auto"/>
        <w:left w:val="none" w:sz="0" w:space="0" w:color="auto"/>
        <w:bottom w:val="none" w:sz="0" w:space="0" w:color="auto"/>
        <w:right w:val="none" w:sz="0" w:space="0" w:color="auto"/>
      </w:divBdr>
    </w:div>
    <w:div w:id="839537822">
      <w:bodyDiv w:val="1"/>
      <w:marLeft w:val="0"/>
      <w:marRight w:val="0"/>
      <w:marTop w:val="0"/>
      <w:marBottom w:val="0"/>
      <w:divBdr>
        <w:top w:val="none" w:sz="0" w:space="0" w:color="auto"/>
        <w:left w:val="none" w:sz="0" w:space="0" w:color="auto"/>
        <w:bottom w:val="none" w:sz="0" w:space="0" w:color="auto"/>
        <w:right w:val="none" w:sz="0" w:space="0" w:color="auto"/>
      </w:divBdr>
    </w:div>
    <w:div w:id="845824516">
      <w:bodyDiv w:val="1"/>
      <w:marLeft w:val="0"/>
      <w:marRight w:val="0"/>
      <w:marTop w:val="0"/>
      <w:marBottom w:val="0"/>
      <w:divBdr>
        <w:top w:val="none" w:sz="0" w:space="0" w:color="auto"/>
        <w:left w:val="none" w:sz="0" w:space="0" w:color="auto"/>
        <w:bottom w:val="none" w:sz="0" w:space="0" w:color="auto"/>
        <w:right w:val="none" w:sz="0" w:space="0" w:color="auto"/>
      </w:divBdr>
    </w:div>
    <w:div w:id="880020950">
      <w:bodyDiv w:val="1"/>
      <w:marLeft w:val="0"/>
      <w:marRight w:val="0"/>
      <w:marTop w:val="0"/>
      <w:marBottom w:val="0"/>
      <w:divBdr>
        <w:top w:val="none" w:sz="0" w:space="0" w:color="auto"/>
        <w:left w:val="none" w:sz="0" w:space="0" w:color="auto"/>
        <w:bottom w:val="none" w:sz="0" w:space="0" w:color="auto"/>
        <w:right w:val="none" w:sz="0" w:space="0" w:color="auto"/>
      </w:divBdr>
    </w:div>
    <w:div w:id="89667065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5454725">
      <w:bodyDiv w:val="1"/>
      <w:marLeft w:val="0"/>
      <w:marRight w:val="0"/>
      <w:marTop w:val="0"/>
      <w:marBottom w:val="0"/>
      <w:divBdr>
        <w:top w:val="none" w:sz="0" w:space="0" w:color="auto"/>
        <w:left w:val="none" w:sz="0" w:space="0" w:color="auto"/>
        <w:bottom w:val="none" w:sz="0" w:space="0" w:color="auto"/>
        <w:right w:val="none" w:sz="0" w:space="0" w:color="auto"/>
      </w:divBdr>
    </w:div>
    <w:div w:id="947587759">
      <w:bodyDiv w:val="1"/>
      <w:marLeft w:val="0"/>
      <w:marRight w:val="0"/>
      <w:marTop w:val="0"/>
      <w:marBottom w:val="0"/>
      <w:divBdr>
        <w:top w:val="none" w:sz="0" w:space="0" w:color="auto"/>
        <w:left w:val="none" w:sz="0" w:space="0" w:color="auto"/>
        <w:bottom w:val="none" w:sz="0" w:space="0" w:color="auto"/>
        <w:right w:val="none" w:sz="0" w:space="0" w:color="auto"/>
      </w:divBdr>
    </w:div>
    <w:div w:id="951281574">
      <w:bodyDiv w:val="1"/>
      <w:marLeft w:val="0"/>
      <w:marRight w:val="0"/>
      <w:marTop w:val="0"/>
      <w:marBottom w:val="0"/>
      <w:divBdr>
        <w:top w:val="none" w:sz="0" w:space="0" w:color="auto"/>
        <w:left w:val="none" w:sz="0" w:space="0" w:color="auto"/>
        <w:bottom w:val="none" w:sz="0" w:space="0" w:color="auto"/>
        <w:right w:val="none" w:sz="0" w:space="0" w:color="auto"/>
      </w:divBdr>
    </w:div>
    <w:div w:id="961233682">
      <w:bodyDiv w:val="1"/>
      <w:marLeft w:val="0"/>
      <w:marRight w:val="0"/>
      <w:marTop w:val="0"/>
      <w:marBottom w:val="0"/>
      <w:divBdr>
        <w:top w:val="none" w:sz="0" w:space="0" w:color="auto"/>
        <w:left w:val="none" w:sz="0" w:space="0" w:color="auto"/>
        <w:bottom w:val="none" w:sz="0" w:space="0" w:color="auto"/>
        <w:right w:val="none" w:sz="0" w:space="0" w:color="auto"/>
      </w:divBdr>
    </w:div>
    <w:div w:id="971401601">
      <w:bodyDiv w:val="1"/>
      <w:marLeft w:val="0"/>
      <w:marRight w:val="0"/>
      <w:marTop w:val="0"/>
      <w:marBottom w:val="0"/>
      <w:divBdr>
        <w:top w:val="none" w:sz="0" w:space="0" w:color="auto"/>
        <w:left w:val="none" w:sz="0" w:space="0" w:color="auto"/>
        <w:bottom w:val="none" w:sz="0" w:space="0" w:color="auto"/>
        <w:right w:val="none" w:sz="0" w:space="0" w:color="auto"/>
      </w:divBdr>
    </w:div>
    <w:div w:id="984356724">
      <w:bodyDiv w:val="1"/>
      <w:marLeft w:val="0"/>
      <w:marRight w:val="0"/>
      <w:marTop w:val="0"/>
      <w:marBottom w:val="0"/>
      <w:divBdr>
        <w:top w:val="none" w:sz="0" w:space="0" w:color="auto"/>
        <w:left w:val="none" w:sz="0" w:space="0" w:color="auto"/>
        <w:bottom w:val="none" w:sz="0" w:space="0" w:color="auto"/>
        <w:right w:val="none" w:sz="0" w:space="0" w:color="auto"/>
      </w:divBdr>
    </w:div>
    <w:div w:id="988748705">
      <w:bodyDiv w:val="1"/>
      <w:marLeft w:val="0"/>
      <w:marRight w:val="0"/>
      <w:marTop w:val="0"/>
      <w:marBottom w:val="0"/>
      <w:divBdr>
        <w:top w:val="none" w:sz="0" w:space="0" w:color="auto"/>
        <w:left w:val="none" w:sz="0" w:space="0" w:color="auto"/>
        <w:bottom w:val="none" w:sz="0" w:space="0" w:color="auto"/>
        <w:right w:val="none" w:sz="0" w:space="0" w:color="auto"/>
      </w:divBdr>
    </w:div>
    <w:div w:id="991642663">
      <w:bodyDiv w:val="1"/>
      <w:marLeft w:val="0"/>
      <w:marRight w:val="0"/>
      <w:marTop w:val="0"/>
      <w:marBottom w:val="0"/>
      <w:divBdr>
        <w:top w:val="none" w:sz="0" w:space="0" w:color="auto"/>
        <w:left w:val="none" w:sz="0" w:space="0" w:color="auto"/>
        <w:bottom w:val="none" w:sz="0" w:space="0" w:color="auto"/>
        <w:right w:val="none" w:sz="0" w:space="0" w:color="auto"/>
      </w:divBdr>
    </w:div>
    <w:div w:id="1007050900">
      <w:bodyDiv w:val="1"/>
      <w:marLeft w:val="0"/>
      <w:marRight w:val="0"/>
      <w:marTop w:val="0"/>
      <w:marBottom w:val="0"/>
      <w:divBdr>
        <w:top w:val="none" w:sz="0" w:space="0" w:color="auto"/>
        <w:left w:val="none" w:sz="0" w:space="0" w:color="auto"/>
        <w:bottom w:val="none" w:sz="0" w:space="0" w:color="auto"/>
        <w:right w:val="none" w:sz="0" w:space="0" w:color="auto"/>
      </w:divBdr>
      <w:divsChild>
        <w:div w:id="489323474">
          <w:marLeft w:val="375"/>
          <w:marRight w:val="0"/>
          <w:marTop w:val="0"/>
          <w:marBottom w:val="375"/>
          <w:divBdr>
            <w:top w:val="none" w:sz="0" w:space="0" w:color="auto"/>
            <w:left w:val="none" w:sz="0" w:space="0" w:color="auto"/>
            <w:bottom w:val="none" w:sz="0" w:space="0" w:color="auto"/>
            <w:right w:val="none" w:sz="0" w:space="0" w:color="auto"/>
          </w:divBdr>
        </w:div>
        <w:div w:id="1336880876">
          <w:marLeft w:val="375"/>
          <w:marRight w:val="0"/>
          <w:marTop w:val="0"/>
          <w:marBottom w:val="375"/>
          <w:divBdr>
            <w:top w:val="none" w:sz="0" w:space="0" w:color="auto"/>
            <w:left w:val="none" w:sz="0" w:space="0" w:color="auto"/>
            <w:bottom w:val="none" w:sz="0" w:space="0" w:color="auto"/>
            <w:right w:val="none" w:sz="0" w:space="0" w:color="auto"/>
          </w:divBdr>
        </w:div>
      </w:divsChild>
    </w:div>
    <w:div w:id="1051542772">
      <w:bodyDiv w:val="1"/>
      <w:marLeft w:val="0"/>
      <w:marRight w:val="0"/>
      <w:marTop w:val="0"/>
      <w:marBottom w:val="0"/>
      <w:divBdr>
        <w:top w:val="none" w:sz="0" w:space="0" w:color="auto"/>
        <w:left w:val="none" w:sz="0" w:space="0" w:color="auto"/>
        <w:bottom w:val="none" w:sz="0" w:space="0" w:color="auto"/>
        <w:right w:val="none" w:sz="0" w:space="0" w:color="auto"/>
      </w:divBdr>
    </w:div>
    <w:div w:id="1079905714">
      <w:bodyDiv w:val="1"/>
      <w:marLeft w:val="0"/>
      <w:marRight w:val="0"/>
      <w:marTop w:val="0"/>
      <w:marBottom w:val="0"/>
      <w:divBdr>
        <w:top w:val="none" w:sz="0" w:space="0" w:color="auto"/>
        <w:left w:val="none" w:sz="0" w:space="0" w:color="auto"/>
        <w:bottom w:val="none" w:sz="0" w:space="0" w:color="auto"/>
        <w:right w:val="none" w:sz="0" w:space="0" w:color="auto"/>
      </w:divBdr>
    </w:div>
    <w:div w:id="1082218691">
      <w:bodyDiv w:val="1"/>
      <w:marLeft w:val="0"/>
      <w:marRight w:val="0"/>
      <w:marTop w:val="0"/>
      <w:marBottom w:val="0"/>
      <w:divBdr>
        <w:top w:val="none" w:sz="0" w:space="0" w:color="auto"/>
        <w:left w:val="none" w:sz="0" w:space="0" w:color="auto"/>
        <w:bottom w:val="none" w:sz="0" w:space="0" w:color="auto"/>
        <w:right w:val="none" w:sz="0" w:space="0" w:color="auto"/>
      </w:divBdr>
    </w:div>
    <w:div w:id="1100102753">
      <w:bodyDiv w:val="1"/>
      <w:marLeft w:val="0"/>
      <w:marRight w:val="0"/>
      <w:marTop w:val="0"/>
      <w:marBottom w:val="0"/>
      <w:divBdr>
        <w:top w:val="none" w:sz="0" w:space="0" w:color="auto"/>
        <w:left w:val="none" w:sz="0" w:space="0" w:color="auto"/>
        <w:bottom w:val="none" w:sz="0" w:space="0" w:color="auto"/>
        <w:right w:val="none" w:sz="0" w:space="0" w:color="auto"/>
      </w:divBdr>
    </w:div>
    <w:div w:id="1117681424">
      <w:bodyDiv w:val="1"/>
      <w:marLeft w:val="0"/>
      <w:marRight w:val="0"/>
      <w:marTop w:val="0"/>
      <w:marBottom w:val="0"/>
      <w:divBdr>
        <w:top w:val="none" w:sz="0" w:space="0" w:color="auto"/>
        <w:left w:val="none" w:sz="0" w:space="0" w:color="auto"/>
        <w:bottom w:val="none" w:sz="0" w:space="0" w:color="auto"/>
        <w:right w:val="none" w:sz="0" w:space="0" w:color="auto"/>
      </w:divBdr>
    </w:div>
    <w:div w:id="1118911849">
      <w:bodyDiv w:val="1"/>
      <w:marLeft w:val="0"/>
      <w:marRight w:val="0"/>
      <w:marTop w:val="0"/>
      <w:marBottom w:val="0"/>
      <w:divBdr>
        <w:top w:val="none" w:sz="0" w:space="0" w:color="auto"/>
        <w:left w:val="none" w:sz="0" w:space="0" w:color="auto"/>
        <w:bottom w:val="none" w:sz="0" w:space="0" w:color="auto"/>
        <w:right w:val="none" w:sz="0" w:space="0" w:color="auto"/>
      </w:divBdr>
    </w:div>
    <w:div w:id="1162623558">
      <w:bodyDiv w:val="1"/>
      <w:marLeft w:val="0"/>
      <w:marRight w:val="0"/>
      <w:marTop w:val="0"/>
      <w:marBottom w:val="0"/>
      <w:divBdr>
        <w:top w:val="none" w:sz="0" w:space="0" w:color="auto"/>
        <w:left w:val="none" w:sz="0" w:space="0" w:color="auto"/>
        <w:bottom w:val="none" w:sz="0" w:space="0" w:color="auto"/>
        <w:right w:val="none" w:sz="0" w:space="0" w:color="auto"/>
      </w:divBdr>
    </w:div>
    <w:div w:id="1171289857">
      <w:bodyDiv w:val="1"/>
      <w:marLeft w:val="0"/>
      <w:marRight w:val="0"/>
      <w:marTop w:val="0"/>
      <w:marBottom w:val="0"/>
      <w:divBdr>
        <w:top w:val="none" w:sz="0" w:space="0" w:color="auto"/>
        <w:left w:val="none" w:sz="0" w:space="0" w:color="auto"/>
        <w:bottom w:val="none" w:sz="0" w:space="0" w:color="auto"/>
        <w:right w:val="none" w:sz="0" w:space="0" w:color="auto"/>
      </w:divBdr>
    </w:div>
    <w:div w:id="1193566371">
      <w:bodyDiv w:val="1"/>
      <w:marLeft w:val="0"/>
      <w:marRight w:val="0"/>
      <w:marTop w:val="0"/>
      <w:marBottom w:val="0"/>
      <w:divBdr>
        <w:top w:val="none" w:sz="0" w:space="0" w:color="auto"/>
        <w:left w:val="none" w:sz="0" w:space="0" w:color="auto"/>
        <w:bottom w:val="none" w:sz="0" w:space="0" w:color="auto"/>
        <w:right w:val="none" w:sz="0" w:space="0" w:color="auto"/>
      </w:divBdr>
    </w:div>
    <w:div w:id="1198468988">
      <w:bodyDiv w:val="1"/>
      <w:marLeft w:val="0"/>
      <w:marRight w:val="0"/>
      <w:marTop w:val="0"/>
      <w:marBottom w:val="0"/>
      <w:divBdr>
        <w:top w:val="none" w:sz="0" w:space="0" w:color="auto"/>
        <w:left w:val="none" w:sz="0" w:space="0" w:color="auto"/>
        <w:bottom w:val="none" w:sz="0" w:space="0" w:color="auto"/>
        <w:right w:val="none" w:sz="0" w:space="0" w:color="auto"/>
      </w:divBdr>
    </w:div>
    <w:div w:id="1202551107">
      <w:bodyDiv w:val="1"/>
      <w:marLeft w:val="0"/>
      <w:marRight w:val="0"/>
      <w:marTop w:val="0"/>
      <w:marBottom w:val="0"/>
      <w:divBdr>
        <w:top w:val="none" w:sz="0" w:space="0" w:color="auto"/>
        <w:left w:val="none" w:sz="0" w:space="0" w:color="auto"/>
        <w:bottom w:val="none" w:sz="0" w:space="0" w:color="auto"/>
        <w:right w:val="none" w:sz="0" w:space="0" w:color="auto"/>
      </w:divBdr>
      <w:divsChild>
        <w:div w:id="1847552116">
          <w:marLeft w:val="375"/>
          <w:marRight w:val="0"/>
          <w:marTop w:val="0"/>
          <w:marBottom w:val="375"/>
          <w:divBdr>
            <w:top w:val="none" w:sz="0" w:space="0" w:color="auto"/>
            <w:left w:val="none" w:sz="0" w:space="0" w:color="auto"/>
            <w:bottom w:val="none" w:sz="0" w:space="0" w:color="auto"/>
            <w:right w:val="none" w:sz="0" w:space="0" w:color="auto"/>
          </w:divBdr>
        </w:div>
      </w:divsChild>
    </w:div>
    <w:div w:id="1226379882">
      <w:bodyDiv w:val="1"/>
      <w:marLeft w:val="0"/>
      <w:marRight w:val="0"/>
      <w:marTop w:val="0"/>
      <w:marBottom w:val="0"/>
      <w:divBdr>
        <w:top w:val="none" w:sz="0" w:space="0" w:color="auto"/>
        <w:left w:val="none" w:sz="0" w:space="0" w:color="auto"/>
        <w:bottom w:val="none" w:sz="0" w:space="0" w:color="auto"/>
        <w:right w:val="none" w:sz="0" w:space="0" w:color="auto"/>
      </w:divBdr>
    </w:div>
    <w:div w:id="1247885676">
      <w:bodyDiv w:val="1"/>
      <w:marLeft w:val="0"/>
      <w:marRight w:val="0"/>
      <w:marTop w:val="0"/>
      <w:marBottom w:val="0"/>
      <w:divBdr>
        <w:top w:val="none" w:sz="0" w:space="0" w:color="auto"/>
        <w:left w:val="none" w:sz="0" w:space="0" w:color="auto"/>
        <w:bottom w:val="none" w:sz="0" w:space="0" w:color="auto"/>
        <w:right w:val="none" w:sz="0" w:space="0" w:color="auto"/>
      </w:divBdr>
    </w:div>
    <w:div w:id="1253975906">
      <w:bodyDiv w:val="1"/>
      <w:marLeft w:val="0"/>
      <w:marRight w:val="0"/>
      <w:marTop w:val="0"/>
      <w:marBottom w:val="0"/>
      <w:divBdr>
        <w:top w:val="none" w:sz="0" w:space="0" w:color="auto"/>
        <w:left w:val="none" w:sz="0" w:space="0" w:color="auto"/>
        <w:bottom w:val="none" w:sz="0" w:space="0" w:color="auto"/>
        <w:right w:val="none" w:sz="0" w:space="0" w:color="auto"/>
      </w:divBdr>
    </w:div>
    <w:div w:id="1266226473">
      <w:bodyDiv w:val="1"/>
      <w:marLeft w:val="0"/>
      <w:marRight w:val="0"/>
      <w:marTop w:val="0"/>
      <w:marBottom w:val="0"/>
      <w:divBdr>
        <w:top w:val="none" w:sz="0" w:space="0" w:color="auto"/>
        <w:left w:val="none" w:sz="0" w:space="0" w:color="auto"/>
        <w:bottom w:val="none" w:sz="0" w:space="0" w:color="auto"/>
        <w:right w:val="none" w:sz="0" w:space="0" w:color="auto"/>
      </w:divBdr>
    </w:div>
    <w:div w:id="1267273900">
      <w:bodyDiv w:val="1"/>
      <w:marLeft w:val="0"/>
      <w:marRight w:val="0"/>
      <w:marTop w:val="0"/>
      <w:marBottom w:val="0"/>
      <w:divBdr>
        <w:top w:val="none" w:sz="0" w:space="0" w:color="auto"/>
        <w:left w:val="none" w:sz="0" w:space="0" w:color="auto"/>
        <w:bottom w:val="none" w:sz="0" w:space="0" w:color="auto"/>
        <w:right w:val="none" w:sz="0" w:space="0" w:color="auto"/>
      </w:divBdr>
      <w:divsChild>
        <w:div w:id="312758386">
          <w:marLeft w:val="0"/>
          <w:marRight w:val="0"/>
          <w:marTop w:val="0"/>
          <w:marBottom w:val="0"/>
          <w:divBdr>
            <w:top w:val="none" w:sz="0" w:space="0" w:color="auto"/>
            <w:left w:val="none" w:sz="0" w:space="0" w:color="auto"/>
            <w:bottom w:val="none" w:sz="0" w:space="0" w:color="auto"/>
            <w:right w:val="none" w:sz="0" w:space="0" w:color="auto"/>
          </w:divBdr>
        </w:div>
      </w:divsChild>
    </w:div>
    <w:div w:id="1268389692">
      <w:bodyDiv w:val="1"/>
      <w:marLeft w:val="0"/>
      <w:marRight w:val="0"/>
      <w:marTop w:val="0"/>
      <w:marBottom w:val="0"/>
      <w:divBdr>
        <w:top w:val="none" w:sz="0" w:space="0" w:color="auto"/>
        <w:left w:val="none" w:sz="0" w:space="0" w:color="auto"/>
        <w:bottom w:val="none" w:sz="0" w:space="0" w:color="auto"/>
        <w:right w:val="none" w:sz="0" w:space="0" w:color="auto"/>
      </w:divBdr>
    </w:div>
    <w:div w:id="1326475995">
      <w:bodyDiv w:val="1"/>
      <w:marLeft w:val="0"/>
      <w:marRight w:val="0"/>
      <w:marTop w:val="0"/>
      <w:marBottom w:val="0"/>
      <w:divBdr>
        <w:top w:val="none" w:sz="0" w:space="0" w:color="auto"/>
        <w:left w:val="none" w:sz="0" w:space="0" w:color="auto"/>
        <w:bottom w:val="none" w:sz="0" w:space="0" w:color="auto"/>
        <w:right w:val="none" w:sz="0" w:space="0" w:color="auto"/>
      </w:divBdr>
    </w:div>
    <w:div w:id="1330984259">
      <w:bodyDiv w:val="1"/>
      <w:marLeft w:val="0"/>
      <w:marRight w:val="0"/>
      <w:marTop w:val="0"/>
      <w:marBottom w:val="0"/>
      <w:divBdr>
        <w:top w:val="none" w:sz="0" w:space="0" w:color="auto"/>
        <w:left w:val="none" w:sz="0" w:space="0" w:color="auto"/>
        <w:bottom w:val="none" w:sz="0" w:space="0" w:color="auto"/>
        <w:right w:val="none" w:sz="0" w:space="0" w:color="auto"/>
      </w:divBdr>
    </w:div>
    <w:div w:id="1338197175">
      <w:bodyDiv w:val="1"/>
      <w:marLeft w:val="0"/>
      <w:marRight w:val="0"/>
      <w:marTop w:val="0"/>
      <w:marBottom w:val="0"/>
      <w:divBdr>
        <w:top w:val="none" w:sz="0" w:space="0" w:color="auto"/>
        <w:left w:val="none" w:sz="0" w:space="0" w:color="auto"/>
        <w:bottom w:val="none" w:sz="0" w:space="0" w:color="auto"/>
        <w:right w:val="none" w:sz="0" w:space="0" w:color="auto"/>
      </w:divBdr>
    </w:div>
    <w:div w:id="1344939674">
      <w:bodyDiv w:val="1"/>
      <w:marLeft w:val="0"/>
      <w:marRight w:val="0"/>
      <w:marTop w:val="0"/>
      <w:marBottom w:val="0"/>
      <w:divBdr>
        <w:top w:val="none" w:sz="0" w:space="0" w:color="auto"/>
        <w:left w:val="none" w:sz="0" w:space="0" w:color="auto"/>
        <w:bottom w:val="none" w:sz="0" w:space="0" w:color="auto"/>
        <w:right w:val="none" w:sz="0" w:space="0" w:color="auto"/>
      </w:divBdr>
    </w:div>
    <w:div w:id="1355615818">
      <w:bodyDiv w:val="1"/>
      <w:marLeft w:val="0"/>
      <w:marRight w:val="0"/>
      <w:marTop w:val="0"/>
      <w:marBottom w:val="0"/>
      <w:divBdr>
        <w:top w:val="none" w:sz="0" w:space="0" w:color="auto"/>
        <w:left w:val="none" w:sz="0" w:space="0" w:color="auto"/>
        <w:bottom w:val="none" w:sz="0" w:space="0" w:color="auto"/>
        <w:right w:val="none" w:sz="0" w:space="0" w:color="auto"/>
      </w:divBdr>
    </w:div>
    <w:div w:id="1412656549">
      <w:bodyDiv w:val="1"/>
      <w:marLeft w:val="0"/>
      <w:marRight w:val="0"/>
      <w:marTop w:val="0"/>
      <w:marBottom w:val="0"/>
      <w:divBdr>
        <w:top w:val="none" w:sz="0" w:space="0" w:color="auto"/>
        <w:left w:val="none" w:sz="0" w:space="0" w:color="auto"/>
        <w:bottom w:val="none" w:sz="0" w:space="0" w:color="auto"/>
        <w:right w:val="none" w:sz="0" w:space="0" w:color="auto"/>
      </w:divBdr>
    </w:div>
    <w:div w:id="1443378004">
      <w:bodyDiv w:val="1"/>
      <w:marLeft w:val="0"/>
      <w:marRight w:val="0"/>
      <w:marTop w:val="0"/>
      <w:marBottom w:val="0"/>
      <w:divBdr>
        <w:top w:val="none" w:sz="0" w:space="0" w:color="auto"/>
        <w:left w:val="none" w:sz="0" w:space="0" w:color="auto"/>
        <w:bottom w:val="none" w:sz="0" w:space="0" w:color="auto"/>
        <w:right w:val="none" w:sz="0" w:space="0" w:color="auto"/>
      </w:divBdr>
    </w:div>
    <w:div w:id="1446264756">
      <w:bodyDiv w:val="1"/>
      <w:marLeft w:val="0"/>
      <w:marRight w:val="0"/>
      <w:marTop w:val="0"/>
      <w:marBottom w:val="0"/>
      <w:divBdr>
        <w:top w:val="none" w:sz="0" w:space="0" w:color="auto"/>
        <w:left w:val="none" w:sz="0" w:space="0" w:color="auto"/>
        <w:bottom w:val="none" w:sz="0" w:space="0" w:color="auto"/>
        <w:right w:val="none" w:sz="0" w:space="0" w:color="auto"/>
      </w:divBdr>
    </w:div>
    <w:div w:id="1454782845">
      <w:bodyDiv w:val="1"/>
      <w:marLeft w:val="0"/>
      <w:marRight w:val="0"/>
      <w:marTop w:val="0"/>
      <w:marBottom w:val="0"/>
      <w:divBdr>
        <w:top w:val="none" w:sz="0" w:space="0" w:color="auto"/>
        <w:left w:val="none" w:sz="0" w:space="0" w:color="auto"/>
        <w:bottom w:val="none" w:sz="0" w:space="0" w:color="auto"/>
        <w:right w:val="none" w:sz="0" w:space="0" w:color="auto"/>
      </w:divBdr>
    </w:div>
    <w:div w:id="1465348163">
      <w:bodyDiv w:val="1"/>
      <w:marLeft w:val="0"/>
      <w:marRight w:val="0"/>
      <w:marTop w:val="0"/>
      <w:marBottom w:val="0"/>
      <w:divBdr>
        <w:top w:val="none" w:sz="0" w:space="0" w:color="auto"/>
        <w:left w:val="none" w:sz="0" w:space="0" w:color="auto"/>
        <w:bottom w:val="none" w:sz="0" w:space="0" w:color="auto"/>
        <w:right w:val="none" w:sz="0" w:space="0" w:color="auto"/>
      </w:divBdr>
    </w:div>
    <w:div w:id="1469472531">
      <w:bodyDiv w:val="1"/>
      <w:marLeft w:val="0"/>
      <w:marRight w:val="0"/>
      <w:marTop w:val="0"/>
      <w:marBottom w:val="0"/>
      <w:divBdr>
        <w:top w:val="none" w:sz="0" w:space="0" w:color="auto"/>
        <w:left w:val="none" w:sz="0" w:space="0" w:color="auto"/>
        <w:bottom w:val="none" w:sz="0" w:space="0" w:color="auto"/>
        <w:right w:val="none" w:sz="0" w:space="0" w:color="auto"/>
      </w:divBdr>
    </w:div>
    <w:div w:id="1503467965">
      <w:bodyDiv w:val="1"/>
      <w:marLeft w:val="0"/>
      <w:marRight w:val="0"/>
      <w:marTop w:val="0"/>
      <w:marBottom w:val="0"/>
      <w:divBdr>
        <w:top w:val="none" w:sz="0" w:space="0" w:color="auto"/>
        <w:left w:val="none" w:sz="0" w:space="0" w:color="auto"/>
        <w:bottom w:val="none" w:sz="0" w:space="0" w:color="auto"/>
        <w:right w:val="none" w:sz="0" w:space="0" w:color="auto"/>
      </w:divBdr>
    </w:div>
    <w:div w:id="1533113572">
      <w:bodyDiv w:val="1"/>
      <w:marLeft w:val="0"/>
      <w:marRight w:val="0"/>
      <w:marTop w:val="0"/>
      <w:marBottom w:val="0"/>
      <w:divBdr>
        <w:top w:val="none" w:sz="0" w:space="0" w:color="auto"/>
        <w:left w:val="none" w:sz="0" w:space="0" w:color="auto"/>
        <w:bottom w:val="none" w:sz="0" w:space="0" w:color="auto"/>
        <w:right w:val="none" w:sz="0" w:space="0" w:color="auto"/>
      </w:divBdr>
    </w:div>
    <w:div w:id="1535927603">
      <w:bodyDiv w:val="1"/>
      <w:marLeft w:val="0"/>
      <w:marRight w:val="0"/>
      <w:marTop w:val="0"/>
      <w:marBottom w:val="0"/>
      <w:divBdr>
        <w:top w:val="none" w:sz="0" w:space="0" w:color="auto"/>
        <w:left w:val="none" w:sz="0" w:space="0" w:color="auto"/>
        <w:bottom w:val="none" w:sz="0" w:space="0" w:color="auto"/>
        <w:right w:val="none" w:sz="0" w:space="0" w:color="auto"/>
      </w:divBdr>
    </w:div>
    <w:div w:id="1554778971">
      <w:bodyDiv w:val="1"/>
      <w:marLeft w:val="0"/>
      <w:marRight w:val="0"/>
      <w:marTop w:val="0"/>
      <w:marBottom w:val="0"/>
      <w:divBdr>
        <w:top w:val="none" w:sz="0" w:space="0" w:color="auto"/>
        <w:left w:val="none" w:sz="0" w:space="0" w:color="auto"/>
        <w:bottom w:val="none" w:sz="0" w:space="0" w:color="auto"/>
        <w:right w:val="none" w:sz="0" w:space="0" w:color="auto"/>
      </w:divBdr>
    </w:div>
    <w:div w:id="1563443480">
      <w:bodyDiv w:val="1"/>
      <w:marLeft w:val="0"/>
      <w:marRight w:val="0"/>
      <w:marTop w:val="0"/>
      <w:marBottom w:val="0"/>
      <w:divBdr>
        <w:top w:val="none" w:sz="0" w:space="0" w:color="auto"/>
        <w:left w:val="none" w:sz="0" w:space="0" w:color="auto"/>
        <w:bottom w:val="none" w:sz="0" w:space="0" w:color="auto"/>
        <w:right w:val="none" w:sz="0" w:space="0" w:color="auto"/>
      </w:divBdr>
    </w:div>
    <w:div w:id="1598633818">
      <w:bodyDiv w:val="1"/>
      <w:marLeft w:val="0"/>
      <w:marRight w:val="0"/>
      <w:marTop w:val="0"/>
      <w:marBottom w:val="0"/>
      <w:divBdr>
        <w:top w:val="none" w:sz="0" w:space="0" w:color="auto"/>
        <w:left w:val="none" w:sz="0" w:space="0" w:color="auto"/>
        <w:bottom w:val="none" w:sz="0" w:space="0" w:color="auto"/>
        <w:right w:val="none" w:sz="0" w:space="0" w:color="auto"/>
      </w:divBdr>
    </w:div>
    <w:div w:id="1613780561">
      <w:bodyDiv w:val="1"/>
      <w:marLeft w:val="0"/>
      <w:marRight w:val="0"/>
      <w:marTop w:val="0"/>
      <w:marBottom w:val="0"/>
      <w:divBdr>
        <w:top w:val="none" w:sz="0" w:space="0" w:color="auto"/>
        <w:left w:val="none" w:sz="0" w:space="0" w:color="auto"/>
        <w:bottom w:val="none" w:sz="0" w:space="0" w:color="auto"/>
        <w:right w:val="none" w:sz="0" w:space="0" w:color="auto"/>
      </w:divBdr>
    </w:div>
    <w:div w:id="1655329038">
      <w:bodyDiv w:val="1"/>
      <w:marLeft w:val="0"/>
      <w:marRight w:val="0"/>
      <w:marTop w:val="0"/>
      <w:marBottom w:val="0"/>
      <w:divBdr>
        <w:top w:val="none" w:sz="0" w:space="0" w:color="auto"/>
        <w:left w:val="none" w:sz="0" w:space="0" w:color="auto"/>
        <w:bottom w:val="none" w:sz="0" w:space="0" w:color="auto"/>
        <w:right w:val="none" w:sz="0" w:space="0" w:color="auto"/>
      </w:divBdr>
    </w:div>
    <w:div w:id="1672484241">
      <w:bodyDiv w:val="1"/>
      <w:marLeft w:val="0"/>
      <w:marRight w:val="0"/>
      <w:marTop w:val="0"/>
      <w:marBottom w:val="0"/>
      <w:divBdr>
        <w:top w:val="none" w:sz="0" w:space="0" w:color="auto"/>
        <w:left w:val="none" w:sz="0" w:space="0" w:color="auto"/>
        <w:bottom w:val="none" w:sz="0" w:space="0" w:color="auto"/>
        <w:right w:val="none" w:sz="0" w:space="0" w:color="auto"/>
      </w:divBdr>
    </w:div>
    <w:div w:id="1695837879">
      <w:bodyDiv w:val="1"/>
      <w:marLeft w:val="0"/>
      <w:marRight w:val="0"/>
      <w:marTop w:val="0"/>
      <w:marBottom w:val="0"/>
      <w:divBdr>
        <w:top w:val="none" w:sz="0" w:space="0" w:color="auto"/>
        <w:left w:val="none" w:sz="0" w:space="0" w:color="auto"/>
        <w:bottom w:val="none" w:sz="0" w:space="0" w:color="auto"/>
        <w:right w:val="none" w:sz="0" w:space="0" w:color="auto"/>
      </w:divBdr>
      <w:divsChild>
        <w:div w:id="974413110">
          <w:marLeft w:val="375"/>
          <w:marRight w:val="0"/>
          <w:marTop w:val="0"/>
          <w:marBottom w:val="375"/>
          <w:divBdr>
            <w:top w:val="none" w:sz="0" w:space="0" w:color="auto"/>
            <w:left w:val="none" w:sz="0" w:space="0" w:color="auto"/>
            <w:bottom w:val="none" w:sz="0" w:space="0" w:color="auto"/>
            <w:right w:val="none" w:sz="0" w:space="0" w:color="auto"/>
          </w:divBdr>
        </w:div>
        <w:div w:id="1940285036">
          <w:marLeft w:val="375"/>
          <w:marRight w:val="0"/>
          <w:marTop w:val="0"/>
          <w:marBottom w:val="375"/>
          <w:divBdr>
            <w:top w:val="none" w:sz="0" w:space="0" w:color="auto"/>
            <w:left w:val="none" w:sz="0" w:space="0" w:color="auto"/>
            <w:bottom w:val="none" w:sz="0" w:space="0" w:color="auto"/>
            <w:right w:val="none" w:sz="0" w:space="0" w:color="auto"/>
          </w:divBdr>
        </w:div>
      </w:divsChild>
    </w:div>
    <w:div w:id="1703087201">
      <w:bodyDiv w:val="1"/>
      <w:marLeft w:val="0"/>
      <w:marRight w:val="0"/>
      <w:marTop w:val="0"/>
      <w:marBottom w:val="0"/>
      <w:divBdr>
        <w:top w:val="none" w:sz="0" w:space="0" w:color="auto"/>
        <w:left w:val="none" w:sz="0" w:space="0" w:color="auto"/>
        <w:bottom w:val="none" w:sz="0" w:space="0" w:color="auto"/>
        <w:right w:val="none" w:sz="0" w:space="0" w:color="auto"/>
      </w:divBdr>
    </w:div>
    <w:div w:id="1712269891">
      <w:bodyDiv w:val="1"/>
      <w:marLeft w:val="0"/>
      <w:marRight w:val="0"/>
      <w:marTop w:val="0"/>
      <w:marBottom w:val="0"/>
      <w:divBdr>
        <w:top w:val="none" w:sz="0" w:space="0" w:color="auto"/>
        <w:left w:val="none" w:sz="0" w:space="0" w:color="auto"/>
        <w:bottom w:val="none" w:sz="0" w:space="0" w:color="auto"/>
        <w:right w:val="none" w:sz="0" w:space="0" w:color="auto"/>
      </w:divBdr>
    </w:div>
    <w:div w:id="1722945733">
      <w:bodyDiv w:val="1"/>
      <w:marLeft w:val="0"/>
      <w:marRight w:val="0"/>
      <w:marTop w:val="0"/>
      <w:marBottom w:val="0"/>
      <w:divBdr>
        <w:top w:val="none" w:sz="0" w:space="0" w:color="auto"/>
        <w:left w:val="none" w:sz="0" w:space="0" w:color="auto"/>
        <w:bottom w:val="none" w:sz="0" w:space="0" w:color="auto"/>
        <w:right w:val="none" w:sz="0" w:space="0" w:color="auto"/>
      </w:divBdr>
    </w:div>
    <w:div w:id="1736322047">
      <w:bodyDiv w:val="1"/>
      <w:marLeft w:val="0"/>
      <w:marRight w:val="0"/>
      <w:marTop w:val="0"/>
      <w:marBottom w:val="0"/>
      <w:divBdr>
        <w:top w:val="none" w:sz="0" w:space="0" w:color="auto"/>
        <w:left w:val="none" w:sz="0" w:space="0" w:color="auto"/>
        <w:bottom w:val="none" w:sz="0" w:space="0" w:color="auto"/>
        <w:right w:val="none" w:sz="0" w:space="0" w:color="auto"/>
      </w:divBdr>
    </w:div>
    <w:div w:id="1746537109">
      <w:bodyDiv w:val="1"/>
      <w:marLeft w:val="0"/>
      <w:marRight w:val="0"/>
      <w:marTop w:val="0"/>
      <w:marBottom w:val="0"/>
      <w:divBdr>
        <w:top w:val="none" w:sz="0" w:space="0" w:color="auto"/>
        <w:left w:val="none" w:sz="0" w:space="0" w:color="auto"/>
        <w:bottom w:val="none" w:sz="0" w:space="0" w:color="auto"/>
        <w:right w:val="none" w:sz="0" w:space="0" w:color="auto"/>
      </w:divBdr>
    </w:div>
    <w:div w:id="1825201418">
      <w:bodyDiv w:val="1"/>
      <w:marLeft w:val="0"/>
      <w:marRight w:val="0"/>
      <w:marTop w:val="0"/>
      <w:marBottom w:val="0"/>
      <w:divBdr>
        <w:top w:val="none" w:sz="0" w:space="0" w:color="auto"/>
        <w:left w:val="none" w:sz="0" w:space="0" w:color="auto"/>
        <w:bottom w:val="none" w:sz="0" w:space="0" w:color="auto"/>
        <w:right w:val="none" w:sz="0" w:space="0" w:color="auto"/>
      </w:divBdr>
    </w:div>
    <w:div w:id="1836265861">
      <w:bodyDiv w:val="1"/>
      <w:marLeft w:val="0"/>
      <w:marRight w:val="0"/>
      <w:marTop w:val="0"/>
      <w:marBottom w:val="0"/>
      <w:divBdr>
        <w:top w:val="none" w:sz="0" w:space="0" w:color="auto"/>
        <w:left w:val="none" w:sz="0" w:space="0" w:color="auto"/>
        <w:bottom w:val="none" w:sz="0" w:space="0" w:color="auto"/>
        <w:right w:val="none" w:sz="0" w:space="0" w:color="auto"/>
      </w:divBdr>
    </w:div>
    <w:div w:id="1859733789">
      <w:bodyDiv w:val="1"/>
      <w:marLeft w:val="0"/>
      <w:marRight w:val="0"/>
      <w:marTop w:val="0"/>
      <w:marBottom w:val="0"/>
      <w:divBdr>
        <w:top w:val="none" w:sz="0" w:space="0" w:color="auto"/>
        <w:left w:val="none" w:sz="0" w:space="0" w:color="auto"/>
        <w:bottom w:val="none" w:sz="0" w:space="0" w:color="auto"/>
        <w:right w:val="none" w:sz="0" w:space="0" w:color="auto"/>
      </w:divBdr>
    </w:div>
    <w:div w:id="1902667624">
      <w:bodyDiv w:val="1"/>
      <w:marLeft w:val="0"/>
      <w:marRight w:val="0"/>
      <w:marTop w:val="0"/>
      <w:marBottom w:val="0"/>
      <w:divBdr>
        <w:top w:val="none" w:sz="0" w:space="0" w:color="auto"/>
        <w:left w:val="none" w:sz="0" w:space="0" w:color="auto"/>
        <w:bottom w:val="none" w:sz="0" w:space="0" w:color="auto"/>
        <w:right w:val="none" w:sz="0" w:space="0" w:color="auto"/>
      </w:divBdr>
    </w:div>
    <w:div w:id="1911227216">
      <w:bodyDiv w:val="1"/>
      <w:marLeft w:val="0"/>
      <w:marRight w:val="0"/>
      <w:marTop w:val="0"/>
      <w:marBottom w:val="0"/>
      <w:divBdr>
        <w:top w:val="none" w:sz="0" w:space="0" w:color="auto"/>
        <w:left w:val="none" w:sz="0" w:space="0" w:color="auto"/>
        <w:bottom w:val="none" w:sz="0" w:space="0" w:color="auto"/>
        <w:right w:val="none" w:sz="0" w:space="0" w:color="auto"/>
      </w:divBdr>
    </w:div>
    <w:div w:id="1916814677">
      <w:bodyDiv w:val="1"/>
      <w:marLeft w:val="0"/>
      <w:marRight w:val="0"/>
      <w:marTop w:val="0"/>
      <w:marBottom w:val="0"/>
      <w:divBdr>
        <w:top w:val="none" w:sz="0" w:space="0" w:color="auto"/>
        <w:left w:val="none" w:sz="0" w:space="0" w:color="auto"/>
        <w:bottom w:val="none" w:sz="0" w:space="0" w:color="auto"/>
        <w:right w:val="none" w:sz="0" w:space="0" w:color="auto"/>
      </w:divBdr>
    </w:div>
    <w:div w:id="1921867924">
      <w:bodyDiv w:val="1"/>
      <w:marLeft w:val="0"/>
      <w:marRight w:val="0"/>
      <w:marTop w:val="0"/>
      <w:marBottom w:val="0"/>
      <w:divBdr>
        <w:top w:val="none" w:sz="0" w:space="0" w:color="auto"/>
        <w:left w:val="none" w:sz="0" w:space="0" w:color="auto"/>
        <w:bottom w:val="none" w:sz="0" w:space="0" w:color="auto"/>
        <w:right w:val="none" w:sz="0" w:space="0" w:color="auto"/>
      </w:divBdr>
    </w:div>
    <w:div w:id="1983846351">
      <w:bodyDiv w:val="1"/>
      <w:marLeft w:val="0"/>
      <w:marRight w:val="0"/>
      <w:marTop w:val="0"/>
      <w:marBottom w:val="0"/>
      <w:divBdr>
        <w:top w:val="none" w:sz="0" w:space="0" w:color="auto"/>
        <w:left w:val="none" w:sz="0" w:space="0" w:color="auto"/>
        <w:bottom w:val="none" w:sz="0" w:space="0" w:color="auto"/>
        <w:right w:val="none" w:sz="0" w:space="0" w:color="auto"/>
      </w:divBdr>
    </w:div>
    <w:div w:id="2043557736">
      <w:bodyDiv w:val="1"/>
      <w:marLeft w:val="0"/>
      <w:marRight w:val="0"/>
      <w:marTop w:val="0"/>
      <w:marBottom w:val="0"/>
      <w:divBdr>
        <w:top w:val="none" w:sz="0" w:space="0" w:color="auto"/>
        <w:left w:val="none" w:sz="0" w:space="0" w:color="auto"/>
        <w:bottom w:val="none" w:sz="0" w:space="0" w:color="auto"/>
        <w:right w:val="none" w:sz="0" w:space="0" w:color="auto"/>
      </w:divBdr>
    </w:div>
    <w:div w:id="2063014072">
      <w:bodyDiv w:val="1"/>
      <w:marLeft w:val="0"/>
      <w:marRight w:val="0"/>
      <w:marTop w:val="0"/>
      <w:marBottom w:val="0"/>
      <w:divBdr>
        <w:top w:val="none" w:sz="0" w:space="0" w:color="auto"/>
        <w:left w:val="none" w:sz="0" w:space="0" w:color="auto"/>
        <w:bottom w:val="none" w:sz="0" w:space="0" w:color="auto"/>
        <w:right w:val="none" w:sz="0" w:space="0" w:color="auto"/>
      </w:divBdr>
    </w:div>
    <w:div w:id="2075548170">
      <w:bodyDiv w:val="1"/>
      <w:marLeft w:val="0"/>
      <w:marRight w:val="0"/>
      <w:marTop w:val="0"/>
      <w:marBottom w:val="0"/>
      <w:divBdr>
        <w:top w:val="none" w:sz="0" w:space="0" w:color="auto"/>
        <w:left w:val="none" w:sz="0" w:space="0" w:color="auto"/>
        <w:bottom w:val="none" w:sz="0" w:space="0" w:color="auto"/>
        <w:right w:val="none" w:sz="0" w:space="0" w:color="auto"/>
      </w:divBdr>
    </w:div>
    <w:div w:id="2088188445">
      <w:bodyDiv w:val="1"/>
      <w:marLeft w:val="0"/>
      <w:marRight w:val="0"/>
      <w:marTop w:val="0"/>
      <w:marBottom w:val="0"/>
      <w:divBdr>
        <w:top w:val="none" w:sz="0" w:space="0" w:color="auto"/>
        <w:left w:val="none" w:sz="0" w:space="0" w:color="auto"/>
        <w:bottom w:val="none" w:sz="0" w:space="0" w:color="auto"/>
        <w:right w:val="none" w:sz="0" w:space="0" w:color="auto"/>
      </w:divBdr>
    </w:div>
    <w:div w:id="2108304976">
      <w:bodyDiv w:val="1"/>
      <w:marLeft w:val="0"/>
      <w:marRight w:val="0"/>
      <w:marTop w:val="0"/>
      <w:marBottom w:val="0"/>
      <w:divBdr>
        <w:top w:val="none" w:sz="0" w:space="0" w:color="auto"/>
        <w:left w:val="none" w:sz="0" w:space="0" w:color="auto"/>
        <w:bottom w:val="none" w:sz="0" w:space="0" w:color="auto"/>
        <w:right w:val="none" w:sz="0" w:space="0" w:color="auto"/>
      </w:divBdr>
    </w:div>
    <w:div w:id="2122995163">
      <w:bodyDiv w:val="1"/>
      <w:marLeft w:val="0"/>
      <w:marRight w:val="0"/>
      <w:marTop w:val="0"/>
      <w:marBottom w:val="0"/>
      <w:divBdr>
        <w:top w:val="none" w:sz="0" w:space="0" w:color="auto"/>
        <w:left w:val="none" w:sz="0" w:space="0" w:color="auto"/>
        <w:bottom w:val="none" w:sz="0" w:space="0" w:color="auto"/>
        <w:right w:val="none" w:sz="0" w:space="0" w:color="auto"/>
      </w:divBdr>
    </w:div>
    <w:div w:id="21368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psycnet.apa.org/index.cfm?fa=search.searchResults&amp;latSearchType=a&amp;term=Hartshorne,%20Joshua%20K." TargetMode="External"/><Relationship Id="rId39" Type="http://schemas.openxmlformats.org/officeDocument/2006/relationships/theme" Target="theme/theme1.xml"/><Relationship Id="rId21" Type="http://schemas.openxmlformats.org/officeDocument/2006/relationships/hyperlink" Target="https://dx.doi.org/10.1016%2Fj.jml.2006.09.007" TargetMode="External"/><Relationship Id="rId34" Type="http://schemas.openxmlformats.org/officeDocument/2006/relationships/hyperlink" Target="https://doi.org/10.1515/lingvan-2016-0067"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doi.org/10.1080/01690965.2010.495234" TargetMode="External"/><Relationship Id="rId33" Type="http://schemas.openxmlformats.org/officeDocument/2006/relationships/hyperlink" Target="https://doi.org/10.1080/0169096940840213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doi.org/10.1111/j.1749-818X.2010.00193.x" TargetMode="External"/><Relationship Id="rId29" Type="http://schemas.openxmlformats.org/officeDocument/2006/relationships/hyperlink" Target="https://doi.org/10.1515/tl-2013-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doi.org/10.1016/j.jml.2009.09.001" TargetMode="External"/><Relationship Id="rId32" Type="http://schemas.openxmlformats.org/officeDocument/2006/relationships/hyperlink" Target="http://dx.doi.org/10.1080/01690965.2013.854918"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doi.org/10.1016/0010-0277(83)90006-9" TargetMode="External"/><Relationship Id="rId28" Type="http://schemas.openxmlformats.org/officeDocument/2006/relationships/hyperlink" Target="https://dx.doi.org/10.1093%2Fjos%2Fffm018"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hyperlink" Target="https://doi.org/10.1353/lan.2008.001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https://doi.org/10.1016/j.cognition.2016.12.008" TargetMode="External"/><Relationship Id="rId27" Type="http://schemas.openxmlformats.org/officeDocument/2006/relationships/hyperlink" Target="https://doi.org/10.1080/01690960701771220" TargetMode="External"/><Relationship Id="rId30" Type="http://schemas.openxmlformats.org/officeDocument/2006/relationships/hyperlink" Target="http://www.uv.es/psicologica/articulos2.09/9NAVARRETE.pdf" TargetMode="External"/><Relationship Id="rId35" Type="http://schemas.openxmlformats.org/officeDocument/2006/relationships/hyperlink" Target="http://doi.org/10.5334/labphon.98" TargetMode="External"/><Relationship Id="rId8" Type="http://schemas.openxmlformats.org/officeDocument/2006/relationships/hyperlink" Target="http://jaapstimuli.web.unc.edu/files/2014/09/picture-copy.jpg"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a\Dropbox\spanish_Clue\Experiment1\SAS\SpanishClu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a\Dropbox\spanish_Clue\Experiment1\SAS\SpanishClu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a\Dropbox\spanish_Clue\Experiment1\SAS\SpanishClu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na\Dropbox\spanish_Clue\Experiment1\SAS\SpanishClu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jarnold/Dropbox/work/top_projects/spanish_project/spanish_Clue/Experiment%202/SAS/SC2_S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jarnold/Dropbox/work/top_projects/spanish_project/spanish_Clue/Experiment%202/SAS/SC2_SA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na\Dropbox\spanish_Clue\Experiment%202\SAS\SC2_SAS%20(Autosav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a\Dropbox\spanish_Clue\Experiment%202\SAS\SC2_SAS%20(Autosav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a\Dropbox\spanish_Clue\Experiment%202\SAS\SC2_SAS%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900">
                <a:latin typeface="Times New Roman" panose="02020603050405020304" pitchFamily="18" charset="0"/>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Same Gender</a:t>
            </a:r>
          </a:p>
        </c:rich>
      </c:tx>
      <c:overlay val="0"/>
    </c:title>
    <c:autoTitleDeleted val="0"/>
    <c:plotArea>
      <c:layout>
        <c:manualLayout>
          <c:layoutTarget val="inner"/>
          <c:xMode val="edge"/>
          <c:yMode val="edge"/>
          <c:x val="0.23903412073490801"/>
          <c:y val="0.164428587051619"/>
          <c:w val="0.70923084614423204"/>
          <c:h val="0.53780566491688497"/>
        </c:manualLayout>
      </c:layout>
      <c:barChart>
        <c:barDir val="col"/>
        <c:grouping val="stacked"/>
        <c:varyColors val="0"/>
        <c:ser>
          <c:idx val="0"/>
          <c:order val="0"/>
          <c:spPr>
            <a:solidFill>
              <a:schemeClr val="tx1"/>
            </a:solidFill>
          </c:spPr>
          <c:invertIfNegative val="0"/>
          <c:cat>
            <c:multiLvlStrRef>
              <c:f>'FINAL STATS'!$J$28:$L$31</c:f>
              <c:multiLvlStrCache>
                <c:ptCount val="4"/>
                <c:lvl>
                  <c:pt idx="0">
                    <c:v>goal</c:v>
                  </c:pt>
                  <c:pt idx="1">
                    <c:v>source</c:v>
                  </c:pt>
                  <c:pt idx="2">
                    <c:v>goal</c:v>
                  </c:pt>
                  <c:pt idx="3">
                    <c:v>source</c:v>
                  </c:pt>
                </c:lvl>
                <c:lvl>
                  <c:pt idx="0">
                    <c:v>subj</c:v>
                  </c:pt>
                  <c:pt idx="2">
                    <c:v>nonsubj</c:v>
                  </c:pt>
                </c:lvl>
              </c:multiLvlStrCache>
            </c:multiLvlStrRef>
          </c:cat>
          <c:val>
            <c:numRef>
              <c:f>'FINAL STATS'!$M$28:$M$31</c:f>
              <c:numCache>
                <c:formatCode>0%</c:formatCode>
                <c:ptCount val="4"/>
                <c:pt idx="0">
                  <c:v>0.630252100840336</c:v>
                </c:pt>
                <c:pt idx="1">
                  <c:v>0.43518518518518501</c:v>
                </c:pt>
                <c:pt idx="2">
                  <c:v>5.4054054054054099E-2</c:v>
                </c:pt>
                <c:pt idx="3">
                  <c:v>8.5714285714285701E-2</c:v>
                </c:pt>
              </c:numCache>
            </c:numRef>
          </c:val>
          <c:extLst>
            <c:ext xmlns:c16="http://schemas.microsoft.com/office/drawing/2014/chart" uri="{C3380CC4-5D6E-409C-BE32-E72D297353CC}">
              <c16:uniqueId val="{00000000-D89D-F144-8D49-57078840A61D}"/>
            </c:ext>
          </c:extLst>
        </c:ser>
        <c:ser>
          <c:idx val="1"/>
          <c:order val="1"/>
          <c:spPr>
            <a:solidFill>
              <a:schemeClr val="bg1">
                <a:lumMod val="50000"/>
              </a:schemeClr>
            </a:solidFill>
          </c:spPr>
          <c:invertIfNegative val="0"/>
          <c:cat>
            <c:multiLvlStrRef>
              <c:f>'FINAL STATS'!$J$28:$L$31</c:f>
              <c:multiLvlStrCache>
                <c:ptCount val="4"/>
                <c:lvl>
                  <c:pt idx="0">
                    <c:v>goal</c:v>
                  </c:pt>
                  <c:pt idx="1">
                    <c:v>source</c:v>
                  </c:pt>
                  <c:pt idx="2">
                    <c:v>goal</c:v>
                  </c:pt>
                  <c:pt idx="3">
                    <c:v>source</c:v>
                  </c:pt>
                </c:lvl>
                <c:lvl>
                  <c:pt idx="0">
                    <c:v>subj</c:v>
                  </c:pt>
                  <c:pt idx="2">
                    <c:v>nonsubj</c:v>
                  </c:pt>
                </c:lvl>
              </c:multiLvlStrCache>
            </c:multiLvlStrRef>
          </c:cat>
          <c:val>
            <c:numRef>
              <c:f>'FINAL STATS'!$N$28:$N$31</c:f>
              <c:numCache>
                <c:formatCode>0%</c:formatCode>
                <c:ptCount val="4"/>
                <c:pt idx="0">
                  <c:v>3.3613445378151301E-2</c:v>
                </c:pt>
                <c:pt idx="1">
                  <c:v>5.5555555555555497E-2</c:v>
                </c:pt>
                <c:pt idx="2">
                  <c:v>0.162162162162162</c:v>
                </c:pt>
                <c:pt idx="3">
                  <c:v>7.6190476190476197E-2</c:v>
                </c:pt>
              </c:numCache>
            </c:numRef>
          </c:val>
          <c:extLst>
            <c:ext xmlns:c16="http://schemas.microsoft.com/office/drawing/2014/chart" uri="{C3380CC4-5D6E-409C-BE32-E72D297353CC}">
              <c16:uniqueId val="{00000001-D89D-F144-8D49-57078840A61D}"/>
            </c:ext>
          </c:extLst>
        </c:ser>
        <c:ser>
          <c:idx val="2"/>
          <c:order val="2"/>
          <c:spPr>
            <a:solidFill>
              <a:schemeClr val="bg1">
                <a:lumMod val="85000"/>
              </a:schemeClr>
            </a:solidFill>
          </c:spPr>
          <c:invertIfNegative val="0"/>
          <c:cat>
            <c:multiLvlStrRef>
              <c:f>'FINAL STATS'!$J$28:$L$31</c:f>
              <c:multiLvlStrCache>
                <c:ptCount val="4"/>
                <c:lvl>
                  <c:pt idx="0">
                    <c:v>goal</c:v>
                  </c:pt>
                  <c:pt idx="1">
                    <c:v>source</c:v>
                  </c:pt>
                  <c:pt idx="2">
                    <c:v>goal</c:v>
                  </c:pt>
                  <c:pt idx="3">
                    <c:v>source</c:v>
                  </c:pt>
                </c:lvl>
                <c:lvl>
                  <c:pt idx="0">
                    <c:v>subj</c:v>
                  </c:pt>
                  <c:pt idx="2">
                    <c:v>nonsubj</c:v>
                  </c:pt>
                </c:lvl>
              </c:multiLvlStrCache>
            </c:multiLvlStrRef>
          </c:cat>
          <c:val>
            <c:numRef>
              <c:f>'FINAL STATS'!$O$28:$O$31</c:f>
              <c:numCache>
                <c:formatCode>0%</c:formatCode>
                <c:ptCount val="4"/>
                <c:pt idx="0">
                  <c:v>0.33613445378151302</c:v>
                </c:pt>
                <c:pt idx="1">
                  <c:v>0.50925925925925897</c:v>
                </c:pt>
                <c:pt idx="2">
                  <c:v>0.78378378378378399</c:v>
                </c:pt>
                <c:pt idx="3">
                  <c:v>0.838095238095238</c:v>
                </c:pt>
              </c:numCache>
            </c:numRef>
          </c:val>
          <c:extLst>
            <c:ext xmlns:c16="http://schemas.microsoft.com/office/drawing/2014/chart" uri="{C3380CC4-5D6E-409C-BE32-E72D297353CC}">
              <c16:uniqueId val="{00000002-D89D-F144-8D49-57078840A61D}"/>
            </c:ext>
          </c:extLst>
        </c:ser>
        <c:dLbls>
          <c:showLegendKey val="0"/>
          <c:showVal val="0"/>
          <c:showCatName val="0"/>
          <c:showSerName val="0"/>
          <c:showPercent val="0"/>
          <c:showBubbleSize val="0"/>
        </c:dLbls>
        <c:gapWidth val="150"/>
        <c:overlap val="100"/>
        <c:axId val="510267464"/>
        <c:axId val="510267856"/>
      </c:barChart>
      <c:catAx>
        <c:axId val="510267464"/>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510267856"/>
        <c:crosses val="autoZero"/>
        <c:auto val="1"/>
        <c:lblAlgn val="ctr"/>
        <c:lblOffset val="100"/>
        <c:noMultiLvlLbl val="0"/>
      </c:catAx>
      <c:valAx>
        <c:axId val="510267856"/>
        <c:scaling>
          <c:orientation val="minMax"/>
          <c:max val="1"/>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 reference</a:t>
                </a:r>
                <a:r>
                  <a:rPr lang="en-US" baseline="0">
                    <a:latin typeface="Times New Roman" panose="02020603050405020304" pitchFamily="18" charset="0"/>
                    <a:cs typeface="Times New Roman" panose="02020603050405020304" pitchFamily="18" charset="0"/>
                  </a:rPr>
                  <a:t> form</a:t>
                </a:r>
                <a:endParaRPr lang="en-US">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10267464"/>
        <c:crosses val="autoZero"/>
        <c:crossBetween val="between"/>
        <c:majorUnit val="0.25"/>
      </c:valAx>
    </c:plotArea>
    <c:plotVisOnly val="1"/>
    <c:dispBlanksAs val="gap"/>
    <c:showDLblsOverMax val="0"/>
  </c:chart>
  <c:spPr>
    <a:ln>
      <a:solidFill>
        <a:schemeClr val="tx1"/>
      </a:solid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Different Gender</a:t>
            </a:r>
          </a:p>
        </c:rich>
      </c:tx>
      <c:overlay val="0"/>
    </c:title>
    <c:autoTitleDeleted val="0"/>
    <c:plotArea>
      <c:layout>
        <c:manualLayout>
          <c:layoutTarget val="inner"/>
          <c:xMode val="edge"/>
          <c:yMode val="edge"/>
          <c:x val="0.15634555446194201"/>
          <c:y val="0.164428587051619"/>
          <c:w val="0.59007166482059104"/>
          <c:h val="0.53780566491688497"/>
        </c:manualLayout>
      </c:layout>
      <c:barChart>
        <c:barDir val="col"/>
        <c:grouping val="stacked"/>
        <c:varyColors val="0"/>
        <c:ser>
          <c:idx val="0"/>
          <c:order val="0"/>
          <c:tx>
            <c:v>Average of null pronoun</c:v>
          </c:tx>
          <c:spPr>
            <a:solidFill>
              <a:schemeClr val="tx1"/>
            </a:solidFill>
          </c:spPr>
          <c:invertIfNegative val="0"/>
          <c:cat>
            <c:multiLvlStrRef>
              <c:f>'FINAL STATS'!$J$23:$L$26</c:f>
              <c:multiLvlStrCache>
                <c:ptCount val="4"/>
                <c:lvl>
                  <c:pt idx="0">
                    <c:v>goal</c:v>
                  </c:pt>
                  <c:pt idx="1">
                    <c:v>source</c:v>
                  </c:pt>
                  <c:pt idx="2">
                    <c:v>goal</c:v>
                  </c:pt>
                  <c:pt idx="3">
                    <c:v>source</c:v>
                  </c:pt>
                </c:lvl>
                <c:lvl>
                  <c:pt idx="0">
                    <c:v>subj</c:v>
                  </c:pt>
                  <c:pt idx="2">
                    <c:v>nonsubj</c:v>
                  </c:pt>
                </c:lvl>
              </c:multiLvlStrCache>
            </c:multiLvlStrRef>
          </c:cat>
          <c:val>
            <c:numRef>
              <c:f>'FINAL STATS'!$M$23:$M$26</c:f>
              <c:numCache>
                <c:formatCode>0%</c:formatCode>
                <c:ptCount val="4"/>
                <c:pt idx="0">
                  <c:v>0.55963302752293598</c:v>
                </c:pt>
                <c:pt idx="1">
                  <c:v>0.621848739495798</c:v>
                </c:pt>
                <c:pt idx="2">
                  <c:v>5.8823529411764698E-2</c:v>
                </c:pt>
                <c:pt idx="3">
                  <c:v>0.106194690265487</c:v>
                </c:pt>
              </c:numCache>
            </c:numRef>
          </c:val>
          <c:extLst>
            <c:ext xmlns:c16="http://schemas.microsoft.com/office/drawing/2014/chart" uri="{C3380CC4-5D6E-409C-BE32-E72D297353CC}">
              <c16:uniqueId val="{00000000-26DF-614D-AF35-E54E6ADC6702}"/>
            </c:ext>
          </c:extLst>
        </c:ser>
        <c:ser>
          <c:idx val="1"/>
          <c:order val="1"/>
          <c:tx>
            <c:v>Average of overt pronoun</c:v>
          </c:tx>
          <c:spPr>
            <a:solidFill>
              <a:schemeClr val="bg1">
                <a:lumMod val="50000"/>
              </a:schemeClr>
            </a:solidFill>
          </c:spPr>
          <c:invertIfNegative val="0"/>
          <c:cat>
            <c:multiLvlStrRef>
              <c:f>'FINAL STATS'!$J$23:$L$26</c:f>
              <c:multiLvlStrCache>
                <c:ptCount val="4"/>
                <c:lvl>
                  <c:pt idx="0">
                    <c:v>goal</c:v>
                  </c:pt>
                  <c:pt idx="1">
                    <c:v>source</c:v>
                  </c:pt>
                  <c:pt idx="2">
                    <c:v>goal</c:v>
                  </c:pt>
                  <c:pt idx="3">
                    <c:v>source</c:v>
                  </c:pt>
                </c:lvl>
                <c:lvl>
                  <c:pt idx="0">
                    <c:v>subj</c:v>
                  </c:pt>
                  <c:pt idx="2">
                    <c:v>nonsubj</c:v>
                  </c:pt>
                </c:lvl>
              </c:multiLvlStrCache>
            </c:multiLvlStrRef>
          </c:cat>
          <c:val>
            <c:numRef>
              <c:f>'FINAL STATS'!$N$23:$N$26</c:f>
              <c:numCache>
                <c:formatCode>0%</c:formatCode>
                <c:ptCount val="4"/>
                <c:pt idx="0">
                  <c:v>4.5871559633027498E-2</c:v>
                </c:pt>
                <c:pt idx="1">
                  <c:v>0.126050420168067</c:v>
                </c:pt>
                <c:pt idx="2">
                  <c:v>0.27450980392156898</c:v>
                </c:pt>
                <c:pt idx="3">
                  <c:v>0.14159292035398199</c:v>
                </c:pt>
              </c:numCache>
            </c:numRef>
          </c:val>
          <c:extLst>
            <c:ext xmlns:c16="http://schemas.microsoft.com/office/drawing/2014/chart" uri="{C3380CC4-5D6E-409C-BE32-E72D297353CC}">
              <c16:uniqueId val="{00000001-26DF-614D-AF35-E54E6ADC6702}"/>
            </c:ext>
          </c:extLst>
        </c:ser>
        <c:ser>
          <c:idx val="2"/>
          <c:order val="2"/>
          <c:tx>
            <c:v>Average of name/description</c:v>
          </c:tx>
          <c:spPr>
            <a:solidFill>
              <a:schemeClr val="bg1">
                <a:lumMod val="85000"/>
              </a:schemeClr>
            </a:solidFill>
          </c:spPr>
          <c:invertIfNegative val="0"/>
          <c:cat>
            <c:multiLvlStrRef>
              <c:f>'FINAL STATS'!$J$23:$L$26</c:f>
              <c:multiLvlStrCache>
                <c:ptCount val="4"/>
                <c:lvl>
                  <c:pt idx="0">
                    <c:v>goal</c:v>
                  </c:pt>
                  <c:pt idx="1">
                    <c:v>source</c:v>
                  </c:pt>
                  <c:pt idx="2">
                    <c:v>goal</c:v>
                  </c:pt>
                  <c:pt idx="3">
                    <c:v>source</c:v>
                  </c:pt>
                </c:lvl>
                <c:lvl>
                  <c:pt idx="0">
                    <c:v>subj</c:v>
                  </c:pt>
                  <c:pt idx="2">
                    <c:v>nonsubj</c:v>
                  </c:pt>
                </c:lvl>
              </c:multiLvlStrCache>
            </c:multiLvlStrRef>
          </c:cat>
          <c:val>
            <c:numRef>
              <c:f>'FINAL STATS'!$O$23:$O$26</c:f>
              <c:numCache>
                <c:formatCode>0%</c:formatCode>
                <c:ptCount val="4"/>
                <c:pt idx="0">
                  <c:v>0.394495412844037</c:v>
                </c:pt>
                <c:pt idx="1">
                  <c:v>0.252100840336134</c:v>
                </c:pt>
                <c:pt idx="2">
                  <c:v>0.66666666666666696</c:v>
                </c:pt>
                <c:pt idx="3">
                  <c:v>0.75221238938053103</c:v>
                </c:pt>
              </c:numCache>
            </c:numRef>
          </c:val>
          <c:extLst>
            <c:ext xmlns:c16="http://schemas.microsoft.com/office/drawing/2014/chart" uri="{C3380CC4-5D6E-409C-BE32-E72D297353CC}">
              <c16:uniqueId val="{00000002-26DF-614D-AF35-E54E6ADC6702}"/>
            </c:ext>
          </c:extLst>
        </c:ser>
        <c:dLbls>
          <c:showLegendKey val="0"/>
          <c:showVal val="0"/>
          <c:showCatName val="0"/>
          <c:showSerName val="0"/>
          <c:showPercent val="0"/>
          <c:showBubbleSize val="0"/>
        </c:dLbls>
        <c:gapWidth val="150"/>
        <c:overlap val="100"/>
        <c:axId val="505809200"/>
        <c:axId val="505808808"/>
      </c:barChart>
      <c:catAx>
        <c:axId val="505809200"/>
        <c:scaling>
          <c:orientation val="minMax"/>
        </c:scaling>
        <c:delete val="0"/>
        <c:axPos val="b"/>
        <c:numFmt formatCode="General" sourceLinked="1"/>
        <c:majorTickMark val="out"/>
        <c:minorTickMark val="none"/>
        <c:tickLblPos val="nextTo"/>
        <c:crossAx val="505808808"/>
        <c:crosses val="autoZero"/>
        <c:auto val="1"/>
        <c:lblAlgn val="ctr"/>
        <c:lblOffset val="100"/>
        <c:noMultiLvlLbl val="0"/>
      </c:catAx>
      <c:valAx>
        <c:axId val="505808808"/>
        <c:scaling>
          <c:orientation val="minMax"/>
          <c:max val="1"/>
        </c:scaling>
        <c:delete val="0"/>
        <c:axPos val="l"/>
        <c:majorGridlines/>
        <c:title>
          <c:tx>
            <c:rich>
              <a:bodyPr/>
              <a:lstStyle/>
              <a:p>
                <a:pPr>
                  <a:defRPr/>
                </a:pPr>
                <a:r>
                  <a:rPr lang="it-IT"/>
                  <a:t>% reference form</a:t>
                </a:r>
              </a:p>
            </c:rich>
          </c:tx>
          <c:layout>
            <c:manualLayout>
              <c:xMode val="edge"/>
              <c:yMode val="edge"/>
              <c:x val="2.6407381831832499E-3"/>
              <c:y val="0.22206419510061201"/>
            </c:manualLayout>
          </c:layout>
          <c:overlay val="0"/>
        </c:title>
        <c:numFmt formatCode="0%" sourceLinked="1"/>
        <c:majorTickMark val="out"/>
        <c:minorTickMark val="none"/>
        <c:tickLblPos val="nextTo"/>
        <c:crossAx val="505809200"/>
        <c:crosses val="autoZero"/>
        <c:crossBetween val="between"/>
        <c:majorUnit val="0.25"/>
      </c:valAx>
    </c:plotArea>
    <c:legend>
      <c:legendPos val="r"/>
      <c:layout>
        <c:manualLayout>
          <c:xMode val="edge"/>
          <c:yMode val="edge"/>
          <c:x val="0.72389934483616303"/>
          <c:y val="0.16554297900262499"/>
          <c:w val="0.27610065516383703"/>
          <c:h val="0.61223479877515297"/>
        </c:manualLayout>
      </c:layout>
      <c:overlay val="0"/>
    </c:legend>
    <c:plotVisOnly val="1"/>
    <c:dispBlanksAs val="gap"/>
    <c:showDLblsOverMax val="0"/>
  </c:chart>
  <c:spPr>
    <a:ln>
      <a:solidFill>
        <a:schemeClr val="tx1"/>
      </a:solid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Rate of Null Pronoun Production</a:t>
            </a:r>
          </a:p>
        </c:rich>
      </c:tx>
      <c:overlay val="0"/>
    </c:title>
    <c:autoTitleDeleted val="0"/>
    <c:plotArea>
      <c:layout>
        <c:manualLayout>
          <c:layoutTarget val="inner"/>
          <c:xMode val="edge"/>
          <c:yMode val="edge"/>
          <c:x val="0.18950766680480699"/>
          <c:y val="0.21810148731408599"/>
          <c:w val="0.69510761154855605"/>
          <c:h val="0.55951006124234504"/>
        </c:manualLayout>
      </c:layout>
      <c:barChart>
        <c:barDir val="col"/>
        <c:grouping val="stacked"/>
        <c:varyColors val="0"/>
        <c:ser>
          <c:idx val="0"/>
          <c:order val="0"/>
          <c:spPr>
            <a:solidFill>
              <a:schemeClr val="tx1"/>
            </a:solidFill>
          </c:spPr>
          <c:invertIfNegative val="0"/>
          <c:cat>
            <c:multiLvlStrRef>
              <c:f>'FINAL STATS'!$I$112:$J$115</c:f>
              <c:multiLvlStrCache>
                <c:ptCount val="4"/>
                <c:lvl>
                  <c:pt idx="0">
                    <c:v>goal</c:v>
                  </c:pt>
                  <c:pt idx="1">
                    <c:v>source</c:v>
                  </c:pt>
                  <c:pt idx="2">
                    <c:v>goal</c:v>
                  </c:pt>
                  <c:pt idx="3">
                    <c:v>source</c:v>
                  </c:pt>
                </c:lvl>
                <c:lvl>
                  <c:pt idx="0">
                    <c:v>subj</c:v>
                  </c:pt>
                  <c:pt idx="2">
                    <c:v>nonsubj</c:v>
                  </c:pt>
                </c:lvl>
              </c:multiLvlStrCache>
            </c:multiLvlStrRef>
          </c:cat>
          <c:val>
            <c:numRef>
              <c:f>'FINAL STATS'!$K$112:$K$115</c:f>
              <c:numCache>
                <c:formatCode>0%</c:formatCode>
                <c:ptCount val="4"/>
                <c:pt idx="0">
                  <c:v>0.6</c:v>
                </c:pt>
                <c:pt idx="1">
                  <c:v>0.53</c:v>
                </c:pt>
                <c:pt idx="2">
                  <c:v>0.06</c:v>
                </c:pt>
                <c:pt idx="3">
                  <c:v>9.6330275229357804E-2</c:v>
                </c:pt>
              </c:numCache>
            </c:numRef>
          </c:val>
          <c:extLst>
            <c:ext xmlns:c16="http://schemas.microsoft.com/office/drawing/2014/chart" uri="{C3380CC4-5D6E-409C-BE32-E72D297353CC}">
              <c16:uniqueId val="{00000000-7E52-484E-9144-EB0C44F278DB}"/>
            </c:ext>
          </c:extLst>
        </c:ser>
        <c:dLbls>
          <c:showLegendKey val="0"/>
          <c:showVal val="0"/>
          <c:showCatName val="0"/>
          <c:showSerName val="0"/>
          <c:showPercent val="0"/>
          <c:showBubbleSize val="0"/>
        </c:dLbls>
        <c:gapWidth val="150"/>
        <c:overlap val="100"/>
        <c:axId val="505806064"/>
        <c:axId val="505806456"/>
      </c:barChart>
      <c:catAx>
        <c:axId val="505806064"/>
        <c:scaling>
          <c:orientation val="minMax"/>
        </c:scaling>
        <c:delete val="0"/>
        <c:axPos val="b"/>
        <c:numFmt formatCode="General" sourceLinked="1"/>
        <c:majorTickMark val="out"/>
        <c:minorTickMark val="none"/>
        <c:tickLblPos val="nextTo"/>
        <c:crossAx val="505806456"/>
        <c:crosses val="autoZero"/>
        <c:auto val="1"/>
        <c:lblAlgn val="ctr"/>
        <c:lblOffset val="100"/>
        <c:noMultiLvlLbl val="0"/>
      </c:catAx>
      <c:valAx>
        <c:axId val="505806456"/>
        <c:scaling>
          <c:orientation val="minMax"/>
          <c:max val="1"/>
        </c:scaling>
        <c:delete val="0"/>
        <c:axPos val="l"/>
        <c:majorGridlines/>
        <c:title>
          <c:tx>
            <c:rich>
              <a:bodyPr rot="-5400000" vert="horz"/>
              <a:lstStyle/>
              <a:p>
                <a:pPr>
                  <a:defRPr/>
                </a:pPr>
                <a:r>
                  <a:rPr lang="en-US"/>
                  <a:t>% reference form</a:t>
                </a:r>
              </a:p>
            </c:rich>
          </c:tx>
          <c:overlay val="0"/>
        </c:title>
        <c:numFmt formatCode="General" sourceLinked="0"/>
        <c:majorTickMark val="out"/>
        <c:minorTickMark val="none"/>
        <c:tickLblPos val="nextTo"/>
        <c:crossAx val="505806064"/>
        <c:crosses val="autoZero"/>
        <c:crossBetween val="between"/>
        <c:majorUnit val="0.25"/>
      </c:valAx>
    </c:plotArea>
    <c:plotVisOnly val="1"/>
    <c:dispBlanksAs val="gap"/>
    <c:showDLblsOverMax val="0"/>
  </c:chart>
  <c:txPr>
    <a:bodyPr/>
    <a:lstStyle/>
    <a:p>
      <a:pPr>
        <a:defRPr sz="1000">
          <a:solidFill>
            <a:sysClr val="windowText" lastClr="000000"/>
          </a:solidFill>
          <a:latin typeface="Times"/>
          <a:cs typeface="Times"/>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Rate of Overt Pronoun Production</a:t>
            </a:r>
          </a:p>
        </c:rich>
      </c:tx>
      <c:overlay val="0"/>
    </c:title>
    <c:autoTitleDeleted val="0"/>
    <c:plotArea>
      <c:layout>
        <c:manualLayout>
          <c:layoutTarget val="inner"/>
          <c:xMode val="edge"/>
          <c:yMode val="edge"/>
          <c:x val="0.18950766680480699"/>
          <c:y val="0.230447166326431"/>
          <c:w val="0.69510761154855605"/>
          <c:h val="0.54716438222999897"/>
        </c:manualLayout>
      </c:layout>
      <c:barChart>
        <c:barDir val="col"/>
        <c:grouping val="stacked"/>
        <c:varyColors val="0"/>
        <c:ser>
          <c:idx val="0"/>
          <c:order val="0"/>
          <c:spPr>
            <a:solidFill>
              <a:schemeClr val="bg1">
                <a:lumMod val="65000"/>
              </a:schemeClr>
            </a:solidFill>
          </c:spPr>
          <c:invertIfNegative val="0"/>
          <c:cat>
            <c:multiLvlStrRef>
              <c:f>'FINAL STATS'!$I$147:$J$150</c:f>
              <c:multiLvlStrCache>
                <c:ptCount val="4"/>
                <c:lvl>
                  <c:pt idx="0">
                    <c:v>goal</c:v>
                  </c:pt>
                  <c:pt idx="1">
                    <c:v>source</c:v>
                  </c:pt>
                  <c:pt idx="2">
                    <c:v>goal</c:v>
                  </c:pt>
                  <c:pt idx="3">
                    <c:v>source</c:v>
                  </c:pt>
                </c:lvl>
                <c:lvl>
                  <c:pt idx="0">
                    <c:v>subj</c:v>
                  </c:pt>
                  <c:pt idx="2">
                    <c:v>nonsubj</c:v>
                  </c:pt>
                </c:lvl>
              </c:multiLvlStrCache>
            </c:multiLvlStrRef>
          </c:cat>
          <c:val>
            <c:numRef>
              <c:f>'FINAL STATS'!$K$147:$K$150</c:f>
              <c:numCache>
                <c:formatCode>0%</c:formatCode>
                <c:ptCount val="4"/>
                <c:pt idx="0">
                  <c:v>3.94736842105263E-2</c:v>
                </c:pt>
                <c:pt idx="1">
                  <c:v>9.2511013215859E-2</c:v>
                </c:pt>
                <c:pt idx="2">
                  <c:v>0.215962441314554</c:v>
                </c:pt>
                <c:pt idx="3">
                  <c:v>0.11009174311926601</c:v>
                </c:pt>
              </c:numCache>
            </c:numRef>
          </c:val>
          <c:extLst>
            <c:ext xmlns:c16="http://schemas.microsoft.com/office/drawing/2014/chart" uri="{C3380CC4-5D6E-409C-BE32-E72D297353CC}">
              <c16:uniqueId val="{00000000-48FD-3C49-A98F-FEEF6F8DF3FB}"/>
            </c:ext>
          </c:extLst>
        </c:ser>
        <c:dLbls>
          <c:showLegendKey val="0"/>
          <c:showVal val="0"/>
          <c:showCatName val="0"/>
          <c:showSerName val="0"/>
          <c:showPercent val="0"/>
          <c:showBubbleSize val="0"/>
        </c:dLbls>
        <c:gapWidth val="150"/>
        <c:overlap val="100"/>
        <c:axId val="404869088"/>
        <c:axId val="404866736"/>
      </c:barChart>
      <c:catAx>
        <c:axId val="404869088"/>
        <c:scaling>
          <c:orientation val="minMax"/>
        </c:scaling>
        <c:delete val="0"/>
        <c:axPos val="b"/>
        <c:numFmt formatCode="General" sourceLinked="1"/>
        <c:majorTickMark val="out"/>
        <c:minorTickMark val="none"/>
        <c:tickLblPos val="nextTo"/>
        <c:crossAx val="404866736"/>
        <c:crosses val="autoZero"/>
        <c:auto val="1"/>
        <c:lblAlgn val="ctr"/>
        <c:lblOffset val="100"/>
        <c:noMultiLvlLbl val="0"/>
      </c:catAx>
      <c:valAx>
        <c:axId val="404866736"/>
        <c:scaling>
          <c:orientation val="minMax"/>
          <c:max val="0.4"/>
          <c:min val="0"/>
        </c:scaling>
        <c:delete val="0"/>
        <c:axPos val="l"/>
        <c:majorGridlines/>
        <c:title>
          <c:tx>
            <c:rich>
              <a:bodyPr rot="-5400000" vert="horz"/>
              <a:lstStyle/>
              <a:p>
                <a:pPr>
                  <a:defRPr/>
                </a:pPr>
                <a:r>
                  <a:rPr lang="en-US"/>
                  <a:t>% reference</a:t>
                </a:r>
                <a:r>
                  <a:rPr lang="en-US" baseline="0"/>
                  <a:t> form</a:t>
                </a:r>
                <a:endParaRPr lang="en-US"/>
              </a:p>
            </c:rich>
          </c:tx>
          <c:overlay val="0"/>
        </c:title>
        <c:numFmt formatCode="General" sourceLinked="0"/>
        <c:majorTickMark val="out"/>
        <c:minorTickMark val="none"/>
        <c:tickLblPos val="nextTo"/>
        <c:crossAx val="404869088"/>
        <c:crosses val="autoZero"/>
        <c:crossBetween val="between"/>
        <c:majorUnit val="0.1"/>
      </c:valAx>
    </c:plotArea>
    <c:plotVisOnly val="1"/>
    <c:dispBlanksAs val="gap"/>
    <c:showDLblsOverMax val="0"/>
  </c:chart>
  <c:txPr>
    <a:bodyPr/>
    <a:lstStyle/>
    <a:p>
      <a:pPr>
        <a:defRPr sz="1000">
          <a:latin typeface="Times"/>
          <a:cs typeface="Times"/>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a:t>Same Gender</a:t>
            </a:r>
          </a:p>
        </c:rich>
      </c:tx>
      <c:overlay val="0"/>
    </c:title>
    <c:autoTitleDeleted val="0"/>
    <c:plotArea>
      <c:layout/>
      <c:barChart>
        <c:barDir val="col"/>
        <c:grouping val="stacked"/>
        <c:varyColors val="0"/>
        <c:ser>
          <c:idx val="0"/>
          <c:order val="0"/>
          <c:tx>
            <c:strRef>
              <c:f>'by subject graphs for paper'!$AA$10</c:f>
              <c:strCache>
                <c:ptCount val="1"/>
                <c:pt idx="0">
                  <c:v>Average of null pronoun</c:v>
                </c:pt>
              </c:strCache>
            </c:strRef>
          </c:tx>
          <c:spPr>
            <a:solidFill>
              <a:schemeClr val="tx1">
                <a:lumMod val="95000"/>
                <a:lumOff val="5000"/>
              </a:schemeClr>
            </a:solidFill>
          </c:spPr>
          <c:invertIfNegative val="0"/>
          <c:cat>
            <c:multiLvlStrRef>
              <c:f>'by subject graphs for paper'!$R$17:$S$20</c:f>
              <c:multiLvlStrCache>
                <c:ptCount val="4"/>
                <c:lvl>
                  <c:pt idx="0">
                    <c:v>goal</c:v>
                  </c:pt>
                  <c:pt idx="1">
                    <c:v>source</c:v>
                  </c:pt>
                  <c:pt idx="2">
                    <c:v>goal</c:v>
                  </c:pt>
                  <c:pt idx="3">
                    <c:v>source</c:v>
                  </c:pt>
                </c:lvl>
                <c:lvl>
                  <c:pt idx="0">
                    <c:v>subj</c:v>
                  </c:pt>
                  <c:pt idx="2">
                    <c:v>nonsubj</c:v>
                  </c:pt>
                </c:lvl>
              </c:multiLvlStrCache>
            </c:multiLvlStrRef>
          </c:cat>
          <c:val>
            <c:numRef>
              <c:f>'by subject graphs for paper'!$AA$17:$AA$20</c:f>
              <c:numCache>
                <c:formatCode>0%</c:formatCode>
                <c:ptCount val="4"/>
                <c:pt idx="0">
                  <c:v>0.66666666666666674</c:v>
                </c:pt>
                <c:pt idx="1">
                  <c:v>0.46666666666666673</c:v>
                </c:pt>
                <c:pt idx="2">
                  <c:v>1.282051282051282E-2</c:v>
                </c:pt>
                <c:pt idx="3">
                  <c:v>5.5555555555555552E-2</c:v>
                </c:pt>
              </c:numCache>
            </c:numRef>
          </c:val>
          <c:extLst>
            <c:ext xmlns:c16="http://schemas.microsoft.com/office/drawing/2014/chart" uri="{C3380CC4-5D6E-409C-BE32-E72D297353CC}">
              <c16:uniqueId val="{00000000-CFE4-994B-B504-E19B0F6D7CCF}"/>
            </c:ext>
          </c:extLst>
        </c:ser>
        <c:ser>
          <c:idx val="1"/>
          <c:order val="1"/>
          <c:tx>
            <c:strRef>
              <c:f>'by subject graphs for paper'!$AB$10</c:f>
              <c:strCache>
                <c:ptCount val="1"/>
                <c:pt idx="0">
                  <c:v>Average of overt pronoun</c:v>
                </c:pt>
              </c:strCache>
            </c:strRef>
          </c:tx>
          <c:spPr>
            <a:solidFill>
              <a:schemeClr val="bg1">
                <a:lumMod val="50000"/>
              </a:schemeClr>
            </a:solidFill>
          </c:spPr>
          <c:invertIfNegative val="0"/>
          <c:cat>
            <c:multiLvlStrRef>
              <c:f>'by subject graphs for paper'!$R$17:$S$20</c:f>
              <c:multiLvlStrCache>
                <c:ptCount val="4"/>
                <c:lvl>
                  <c:pt idx="0">
                    <c:v>goal</c:v>
                  </c:pt>
                  <c:pt idx="1">
                    <c:v>source</c:v>
                  </c:pt>
                  <c:pt idx="2">
                    <c:v>goal</c:v>
                  </c:pt>
                  <c:pt idx="3">
                    <c:v>source</c:v>
                  </c:pt>
                </c:lvl>
                <c:lvl>
                  <c:pt idx="0">
                    <c:v>subj</c:v>
                  </c:pt>
                  <c:pt idx="2">
                    <c:v>nonsubj</c:v>
                  </c:pt>
                </c:lvl>
              </c:multiLvlStrCache>
            </c:multiLvlStrRef>
          </c:cat>
          <c:val>
            <c:numRef>
              <c:f>'by subject graphs for paper'!$AB$17:$AB$20</c:f>
              <c:numCache>
                <c:formatCode>0%</c:formatCode>
                <c:ptCount val="4"/>
                <c:pt idx="0">
                  <c:v>0.16666666666666669</c:v>
                </c:pt>
                <c:pt idx="1">
                  <c:v>6.6666666666666666E-2</c:v>
                </c:pt>
                <c:pt idx="2">
                  <c:v>0.30128205128205132</c:v>
                </c:pt>
                <c:pt idx="3">
                  <c:v>8.3333333333333329E-2</c:v>
                </c:pt>
              </c:numCache>
            </c:numRef>
          </c:val>
          <c:extLst>
            <c:ext xmlns:c16="http://schemas.microsoft.com/office/drawing/2014/chart" uri="{C3380CC4-5D6E-409C-BE32-E72D297353CC}">
              <c16:uniqueId val="{00000001-CFE4-994B-B504-E19B0F6D7CCF}"/>
            </c:ext>
          </c:extLst>
        </c:ser>
        <c:ser>
          <c:idx val="2"/>
          <c:order val="2"/>
          <c:tx>
            <c:strRef>
              <c:f>'by subject graphs for paper'!$AC$10</c:f>
              <c:strCache>
                <c:ptCount val="1"/>
                <c:pt idx="0">
                  <c:v>Average of name/description</c:v>
                </c:pt>
              </c:strCache>
            </c:strRef>
          </c:tx>
          <c:spPr>
            <a:solidFill>
              <a:schemeClr val="bg1">
                <a:lumMod val="85000"/>
              </a:schemeClr>
            </a:solidFill>
          </c:spPr>
          <c:invertIfNegative val="0"/>
          <c:cat>
            <c:multiLvlStrRef>
              <c:f>'by subject graphs for paper'!$R$17:$S$20</c:f>
              <c:multiLvlStrCache>
                <c:ptCount val="4"/>
                <c:lvl>
                  <c:pt idx="0">
                    <c:v>goal</c:v>
                  </c:pt>
                  <c:pt idx="1">
                    <c:v>source</c:v>
                  </c:pt>
                  <c:pt idx="2">
                    <c:v>goal</c:v>
                  </c:pt>
                  <c:pt idx="3">
                    <c:v>source</c:v>
                  </c:pt>
                </c:lvl>
                <c:lvl>
                  <c:pt idx="0">
                    <c:v>subj</c:v>
                  </c:pt>
                  <c:pt idx="2">
                    <c:v>nonsubj</c:v>
                  </c:pt>
                </c:lvl>
              </c:multiLvlStrCache>
            </c:multiLvlStrRef>
          </c:cat>
          <c:val>
            <c:numRef>
              <c:f>'by subject graphs for paper'!$AC$17:$AC$20</c:f>
              <c:numCache>
                <c:formatCode>0%</c:formatCode>
                <c:ptCount val="4"/>
                <c:pt idx="0">
                  <c:v>0.16666666666666666</c:v>
                </c:pt>
                <c:pt idx="1">
                  <c:v>0.46666666666666673</c:v>
                </c:pt>
                <c:pt idx="2">
                  <c:v>0.6858974358974359</c:v>
                </c:pt>
                <c:pt idx="3">
                  <c:v>0.86111111111111116</c:v>
                </c:pt>
              </c:numCache>
            </c:numRef>
          </c:val>
          <c:extLst>
            <c:ext xmlns:c16="http://schemas.microsoft.com/office/drawing/2014/chart" uri="{C3380CC4-5D6E-409C-BE32-E72D297353CC}">
              <c16:uniqueId val="{00000002-CFE4-994B-B504-E19B0F6D7CCF}"/>
            </c:ext>
          </c:extLst>
        </c:ser>
        <c:dLbls>
          <c:showLegendKey val="0"/>
          <c:showVal val="0"/>
          <c:showCatName val="0"/>
          <c:showSerName val="0"/>
          <c:showPercent val="0"/>
          <c:showBubbleSize val="0"/>
        </c:dLbls>
        <c:gapWidth val="150"/>
        <c:overlap val="100"/>
        <c:axId val="-1637073504"/>
        <c:axId val="-1637071184"/>
      </c:barChart>
      <c:catAx>
        <c:axId val="-1637073504"/>
        <c:scaling>
          <c:orientation val="minMax"/>
        </c:scaling>
        <c:delete val="0"/>
        <c:axPos val="b"/>
        <c:numFmt formatCode="General" sourceLinked="0"/>
        <c:majorTickMark val="out"/>
        <c:minorTickMark val="none"/>
        <c:tickLblPos val="nextTo"/>
        <c:crossAx val="-1637071184"/>
        <c:crosses val="autoZero"/>
        <c:auto val="1"/>
        <c:lblAlgn val="ctr"/>
        <c:lblOffset val="100"/>
        <c:noMultiLvlLbl val="0"/>
      </c:catAx>
      <c:valAx>
        <c:axId val="-1637071184"/>
        <c:scaling>
          <c:orientation val="minMax"/>
          <c:max val="1"/>
        </c:scaling>
        <c:delete val="0"/>
        <c:axPos val="l"/>
        <c:majorGridlines/>
        <c:title>
          <c:tx>
            <c:rich>
              <a:bodyPr rot="-5400000" vert="horz"/>
              <a:lstStyle/>
              <a:p>
                <a:pPr>
                  <a:defRPr/>
                </a:pPr>
                <a:r>
                  <a:rPr lang="en-US"/>
                  <a:t>% reference form</a:t>
                </a:r>
              </a:p>
            </c:rich>
          </c:tx>
          <c:overlay val="0"/>
        </c:title>
        <c:numFmt formatCode="0%" sourceLinked="1"/>
        <c:majorTickMark val="out"/>
        <c:minorTickMark val="none"/>
        <c:tickLblPos val="nextTo"/>
        <c:crossAx val="-1637073504"/>
        <c:crosses val="autoZero"/>
        <c:crossBetween val="between"/>
        <c:majorUnit val="0.2"/>
      </c:valAx>
    </c:plotArea>
    <c:plotVisOnly val="1"/>
    <c:dispBlanksAs val="gap"/>
    <c:showDLblsOverMax val="0"/>
  </c:chart>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a:t>Different Gender</a:t>
            </a:r>
          </a:p>
        </c:rich>
      </c:tx>
      <c:overlay val="0"/>
    </c:title>
    <c:autoTitleDeleted val="0"/>
    <c:plotArea>
      <c:layout>
        <c:manualLayout>
          <c:layoutTarget val="inner"/>
          <c:xMode val="edge"/>
          <c:yMode val="edge"/>
          <c:x val="0.19949121744397336"/>
          <c:y val="0.20126138752627887"/>
          <c:w val="0.44645048067216447"/>
          <c:h val="0.54517544101661441"/>
        </c:manualLayout>
      </c:layout>
      <c:barChart>
        <c:barDir val="col"/>
        <c:grouping val="stacked"/>
        <c:varyColors val="0"/>
        <c:ser>
          <c:idx val="0"/>
          <c:order val="0"/>
          <c:tx>
            <c:strRef>
              <c:f>'by subject graphs for paper'!$T$8</c:f>
              <c:strCache>
                <c:ptCount val="1"/>
                <c:pt idx="0">
                  <c:v>null pronoun</c:v>
                </c:pt>
              </c:strCache>
            </c:strRef>
          </c:tx>
          <c:spPr>
            <a:solidFill>
              <a:schemeClr val="tx1">
                <a:lumMod val="95000"/>
                <a:lumOff val="5000"/>
              </a:schemeClr>
            </a:solidFill>
          </c:spPr>
          <c:invertIfNegative val="0"/>
          <c:cat>
            <c:multiLvlStrRef>
              <c:f>'by subject graphs for paper'!$R$17:$S$20</c:f>
              <c:multiLvlStrCache>
                <c:ptCount val="4"/>
                <c:lvl>
                  <c:pt idx="0">
                    <c:v>goal</c:v>
                  </c:pt>
                  <c:pt idx="1">
                    <c:v>source</c:v>
                  </c:pt>
                  <c:pt idx="2">
                    <c:v>goal</c:v>
                  </c:pt>
                  <c:pt idx="3">
                    <c:v>source</c:v>
                  </c:pt>
                </c:lvl>
                <c:lvl>
                  <c:pt idx="0">
                    <c:v>subj</c:v>
                  </c:pt>
                  <c:pt idx="2">
                    <c:v>nonsubj</c:v>
                  </c:pt>
                </c:lvl>
              </c:multiLvlStrCache>
            </c:multiLvlStrRef>
          </c:cat>
          <c:val>
            <c:numRef>
              <c:f>'by subject graphs for paper'!$T$17:$T$20</c:f>
              <c:numCache>
                <c:formatCode>0%</c:formatCode>
                <c:ptCount val="4"/>
                <c:pt idx="0">
                  <c:v>0.6633986928104576</c:v>
                </c:pt>
                <c:pt idx="1">
                  <c:v>0.55102040816326525</c:v>
                </c:pt>
                <c:pt idx="2">
                  <c:v>1.282051282051282E-2</c:v>
                </c:pt>
                <c:pt idx="3">
                  <c:v>3.6666666666666667E-2</c:v>
                </c:pt>
              </c:numCache>
            </c:numRef>
          </c:val>
          <c:extLst>
            <c:ext xmlns:c16="http://schemas.microsoft.com/office/drawing/2014/chart" uri="{C3380CC4-5D6E-409C-BE32-E72D297353CC}">
              <c16:uniqueId val="{00000000-A377-E640-98F1-9C141AA49A2C}"/>
            </c:ext>
          </c:extLst>
        </c:ser>
        <c:ser>
          <c:idx val="1"/>
          <c:order val="1"/>
          <c:tx>
            <c:strRef>
              <c:f>'by subject graphs for paper'!$U$8</c:f>
              <c:strCache>
                <c:ptCount val="1"/>
                <c:pt idx="0">
                  <c:v>overt pronoun</c:v>
                </c:pt>
              </c:strCache>
            </c:strRef>
          </c:tx>
          <c:spPr>
            <a:solidFill>
              <a:schemeClr val="bg1">
                <a:lumMod val="50000"/>
              </a:schemeClr>
            </a:solidFill>
          </c:spPr>
          <c:invertIfNegative val="0"/>
          <c:cat>
            <c:multiLvlStrRef>
              <c:f>'by subject graphs for paper'!$R$17:$S$20</c:f>
              <c:multiLvlStrCache>
                <c:ptCount val="4"/>
                <c:lvl>
                  <c:pt idx="0">
                    <c:v>goal</c:v>
                  </c:pt>
                  <c:pt idx="1">
                    <c:v>source</c:v>
                  </c:pt>
                  <c:pt idx="2">
                    <c:v>goal</c:v>
                  </c:pt>
                  <c:pt idx="3">
                    <c:v>source</c:v>
                  </c:pt>
                </c:lvl>
                <c:lvl>
                  <c:pt idx="0">
                    <c:v>subj</c:v>
                  </c:pt>
                  <c:pt idx="2">
                    <c:v>nonsubj</c:v>
                  </c:pt>
                </c:lvl>
              </c:multiLvlStrCache>
            </c:multiLvlStrRef>
          </c:cat>
          <c:val>
            <c:numRef>
              <c:f>'by subject graphs for paper'!$U$17:$U$20</c:f>
              <c:numCache>
                <c:formatCode>0%</c:formatCode>
                <c:ptCount val="4"/>
                <c:pt idx="0">
                  <c:v>0.1699346405228758</c:v>
                </c:pt>
                <c:pt idx="1">
                  <c:v>9.5238095238095247E-2</c:v>
                </c:pt>
                <c:pt idx="2">
                  <c:v>0.31089743589743585</c:v>
                </c:pt>
                <c:pt idx="3">
                  <c:v>0.18999999999999997</c:v>
                </c:pt>
              </c:numCache>
            </c:numRef>
          </c:val>
          <c:extLst>
            <c:ext xmlns:c16="http://schemas.microsoft.com/office/drawing/2014/chart" uri="{C3380CC4-5D6E-409C-BE32-E72D297353CC}">
              <c16:uniqueId val="{00000001-A377-E640-98F1-9C141AA49A2C}"/>
            </c:ext>
          </c:extLst>
        </c:ser>
        <c:ser>
          <c:idx val="2"/>
          <c:order val="2"/>
          <c:tx>
            <c:strRef>
              <c:f>'by subject graphs for paper'!$V$8</c:f>
              <c:strCache>
                <c:ptCount val="1"/>
                <c:pt idx="0">
                  <c:v>name/description</c:v>
                </c:pt>
              </c:strCache>
            </c:strRef>
          </c:tx>
          <c:spPr>
            <a:solidFill>
              <a:schemeClr val="bg1">
                <a:lumMod val="85000"/>
              </a:schemeClr>
            </a:solidFill>
          </c:spPr>
          <c:invertIfNegative val="0"/>
          <c:cat>
            <c:multiLvlStrRef>
              <c:f>'by subject graphs for paper'!$R$17:$S$20</c:f>
              <c:multiLvlStrCache>
                <c:ptCount val="4"/>
                <c:lvl>
                  <c:pt idx="0">
                    <c:v>goal</c:v>
                  </c:pt>
                  <c:pt idx="1">
                    <c:v>source</c:v>
                  </c:pt>
                  <c:pt idx="2">
                    <c:v>goal</c:v>
                  </c:pt>
                  <c:pt idx="3">
                    <c:v>source</c:v>
                  </c:pt>
                </c:lvl>
                <c:lvl>
                  <c:pt idx="0">
                    <c:v>subj</c:v>
                  </c:pt>
                  <c:pt idx="2">
                    <c:v>nonsubj</c:v>
                  </c:pt>
                </c:lvl>
              </c:multiLvlStrCache>
            </c:multiLvlStrRef>
          </c:cat>
          <c:val>
            <c:numRef>
              <c:f>'by subject graphs for paper'!$V$17:$V$20</c:f>
              <c:numCache>
                <c:formatCode>0%</c:formatCode>
                <c:ptCount val="4"/>
                <c:pt idx="0">
                  <c:v>0.16666666666666666</c:v>
                </c:pt>
                <c:pt idx="1">
                  <c:v>0.3537414965986394</c:v>
                </c:pt>
                <c:pt idx="2">
                  <c:v>0.67628205128205132</c:v>
                </c:pt>
                <c:pt idx="3">
                  <c:v>0.77333333333333332</c:v>
                </c:pt>
              </c:numCache>
            </c:numRef>
          </c:val>
          <c:extLst>
            <c:ext xmlns:c16="http://schemas.microsoft.com/office/drawing/2014/chart" uri="{C3380CC4-5D6E-409C-BE32-E72D297353CC}">
              <c16:uniqueId val="{00000002-A377-E640-98F1-9C141AA49A2C}"/>
            </c:ext>
          </c:extLst>
        </c:ser>
        <c:dLbls>
          <c:showLegendKey val="0"/>
          <c:showVal val="0"/>
          <c:showCatName val="0"/>
          <c:showSerName val="0"/>
          <c:showPercent val="0"/>
          <c:showBubbleSize val="0"/>
        </c:dLbls>
        <c:gapWidth val="150"/>
        <c:overlap val="100"/>
        <c:axId val="-1472611360"/>
        <c:axId val="-1473176560"/>
      </c:barChart>
      <c:catAx>
        <c:axId val="-1472611360"/>
        <c:scaling>
          <c:orientation val="minMax"/>
        </c:scaling>
        <c:delete val="0"/>
        <c:axPos val="b"/>
        <c:numFmt formatCode="General" sourceLinked="0"/>
        <c:majorTickMark val="out"/>
        <c:minorTickMark val="none"/>
        <c:tickLblPos val="nextTo"/>
        <c:crossAx val="-1473176560"/>
        <c:crosses val="autoZero"/>
        <c:auto val="1"/>
        <c:lblAlgn val="ctr"/>
        <c:lblOffset val="100"/>
        <c:noMultiLvlLbl val="0"/>
      </c:catAx>
      <c:valAx>
        <c:axId val="-1473176560"/>
        <c:scaling>
          <c:orientation val="minMax"/>
          <c:max val="1"/>
        </c:scaling>
        <c:delete val="0"/>
        <c:axPos val="l"/>
        <c:majorGridlines/>
        <c:title>
          <c:tx>
            <c:rich>
              <a:bodyPr rot="-5400000" vert="horz"/>
              <a:lstStyle/>
              <a:p>
                <a:pPr>
                  <a:defRPr/>
                </a:pPr>
                <a:r>
                  <a:rPr lang="en-US"/>
                  <a:t>% reference form</a:t>
                </a:r>
              </a:p>
            </c:rich>
          </c:tx>
          <c:overlay val="0"/>
        </c:title>
        <c:numFmt formatCode="0%" sourceLinked="1"/>
        <c:majorTickMark val="out"/>
        <c:minorTickMark val="none"/>
        <c:tickLblPos val="nextTo"/>
        <c:crossAx val="-1472611360"/>
        <c:crosses val="autoZero"/>
        <c:crossBetween val="between"/>
        <c:majorUnit val="0.2"/>
      </c:valAx>
    </c:plotArea>
    <c:legend>
      <c:legendPos val="r"/>
      <c:overlay val="0"/>
    </c:legend>
    <c:plotVisOnly val="1"/>
    <c:dispBlanksAs val="gap"/>
    <c:showDLblsOverMax val="0"/>
  </c:chart>
  <c:txPr>
    <a:bodyPr/>
    <a:lstStyle/>
    <a:p>
      <a:pPr>
        <a:defRPr sz="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Rate of Null Pronoun Production</a:t>
            </a:r>
          </a:p>
        </c:rich>
      </c:tx>
      <c:overlay val="0"/>
    </c:title>
    <c:autoTitleDeleted val="0"/>
    <c:plotArea>
      <c:layout/>
      <c:barChart>
        <c:barDir val="col"/>
        <c:grouping val="stacked"/>
        <c:varyColors val="0"/>
        <c:ser>
          <c:idx val="0"/>
          <c:order val="0"/>
          <c:tx>
            <c:strRef>
              <c:f>'by subject graphs for paper'!$T$10</c:f>
              <c:strCache>
                <c:ptCount val="1"/>
                <c:pt idx="0">
                  <c:v>Average of null pronoun</c:v>
                </c:pt>
              </c:strCache>
            </c:strRef>
          </c:tx>
          <c:spPr>
            <a:solidFill>
              <a:schemeClr val="tx1"/>
            </a:solidFill>
          </c:spPr>
          <c:invertIfNegative val="0"/>
          <c:cat>
            <c:multiLvlStrRef>
              <c:f>'by subject graphs for paper'!$R$54:$S$57</c:f>
              <c:multiLvlStrCache>
                <c:ptCount val="4"/>
                <c:lvl>
                  <c:pt idx="0">
                    <c:v>goal</c:v>
                  </c:pt>
                  <c:pt idx="1">
                    <c:v>source</c:v>
                  </c:pt>
                  <c:pt idx="2">
                    <c:v>goal</c:v>
                  </c:pt>
                  <c:pt idx="3">
                    <c:v>source</c:v>
                  </c:pt>
                </c:lvl>
                <c:lvl>
                  <c:pt idx="0">
                    <c:v>subject</c:v>
                  </c:pt>
                  <c:pt idx="2">
                    <c:v>nonsubject</c:v>
                  </c:pt>
                </c:lvl>
              </c:multiLvlStrCache>
            </c:multiLvlStrRef>
          </c:cat>
          <c:val>
            <c:numRef>
              <c:f>'by subject graphs for paper'!$T$54:$T$57</c:f>
              <c:numCache>
                <c:formatCode>0%</c:formatCode>
                <c:ptCount val="4"/>
                <c:pt idx="0">
                  <c:v>0.66339869281045805</c:v>
                </c:pt>
                <c:pt idx="1">
                  <c:v>0.55102040816326503</c:v>
                </c:pt>
                <c:pt idx="2">
                  <c:v>1.2820512820512799E-2</c:v>
                </c:pt>
                <c:pt idx="3">
                  <c:v>3.6666666666666702E-2</c:v>
                </c:pt>
              </c:numCache>
            </c:numRef>
          </c:val>
          <c:extLst>
            <c:ext xmlns:c16="http://schemas.microsoft.com/office/drawing/2014/chart" uri="{C3380CC4-5D6E-409C-BE32-E72D297353CC}">
              <c16:uniqueId val="{00000000-E13E-4683-BECA-2E62EC6933F0}"/>
            </c:ext>
          </c:extLst>
        </c:ser>
        <c:dLbls>
          <c:showLegendKey val="0"/>
          <c:showVal val="0"/>
          <c:showCatName val="0"/>
          <c:showSerName val="0"/>
          <c:showPercent val="0"/>
          <c:showBubbleSize val="0"/>
        </c:dLbls>
        <c:gapWidth val="150"/>
        <c:overlap val="100"/>
        <c:axId val="509938632"/>
        <c:axId val="509938240"/>
      </c:barChart>
      <c:catAx>
        <c:axId val="509938632"/>
        <c:scaling>
          <c:orientation val="minMax"/>
        </c:scaling>
        <c:delete val="0"/>
        <c:axPos val="b"/>
        <c:numFmt formatCode="General" sourceLinked="0"/>
        <c:majorTickMark val="out"/>
        <c:minorTickMark val="none"/>
        <c:tickLblPos val="nextTo"/>
        <c:crossAx val="509938240"/>
        <c:crosses val="autoZero"/>
        <c:auto val="1"/>
        <c:lblAlgn val="ctr"/>
        <c:lblOffset val="100"/>
        <c:noMultiLvlLbl val="0"/>
      </c:catAx>
      <c:valAx>
        <c:axId val="509938240"/>
        <c:scaling>
          <c:orientation val="minMax"/>
          <c:max val="1"/>
        </c:scaling>
        <c:delete val="0"/>
        <c:axPos val="l"/>
        <c:majorGridlines/>
        <c:title>
          <c:tx>
            <c:rich>
              <a:bodyPr rot="-5400000" vert="horz"/>
              <a:lstStyle/>
              <a:p>
                <a:pPr>
                  <a:defRPr/>
                </a:pPr>
                <a:r>
                  <a:rPr lang="en-US"/>
                  <a:t>% reference form</a:t>
                </a:r>
              </a:p>
            </c:rich>
          </c:tx>
          <c:overlay val="0"/>
        </c:title>
        <c:numFmt formatCode="0%" sourceLinked="1"/>
        <c:majorTickMark val="out"/>
        <c:minorTickMark val="none"/>
        <c:tickLblPos val="nextTo"/>
        <c:crossAx val="509938632"/>
        <c:crosses val="autoZero"/>
        <c:crossBetween val="between"/>
        <c:majorUnit val="0.25"/>
      </c:valAx>
    </c:plotArea>
    <c:plotVisOnly val="1"/>
    <c:dispBlanksAs val="gap"/>
    <c:showDLblsOverMax val="0"/>
  </c:chart>
  <c:txPr>
    <a:bodyPr/>
    <a:lstStyle/>
    <a:p>
      <a:pPr>
        <a:defRPr sz="1000">
          <a:latin typeface="Times"/>
          <a:cs typeface="Times"/>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Rate of Overt Pronoun Production</a:t>
            </a:r>
          </a:p>
        </c:rich>
      </c:tx>
      <c:overlay val="0"/>
    </c:title>
    <c:autoTitleDeleted val="0"/>
    <c:plotArea>
      <c:layout/>
      <c:barChart>
        <c:barDir val="col"/>
        <c:grouping val="stacked"/>
        <c:varyColors val="0"/>
        <c:ser>
          <c:idx val="0"/>
          <c:order val="0"/>
          <c:tx>
            <c:strRef>
              <c:f>'by subject graphs for paper'!$U$10</c:f>
              <c:strCache>
                <c:ptCount val="1"/>
                <c:pt idx="0">
                  <c:v>Average of overt pronoun</c:v>
                </c:pt>
              </c:strCache>
            </c:strRef>
          </c:tx>
          <c:spPr>
            <a:solidFill>
              <a:schemeClr val="bg1">
                <a:lumMod val="65000"/>
              </a:schemeClr>
            </a:solidFill>
          </c:spPr>
          <c:invertIfNegative val="0"/>
          <c:cat>
            <c:multiLvlStrRef>
              <c:f>'by subject graphs for paper'!$R$54:$S$57</c:f>
              <c:multiLvlStrCache>
                <c:ptCount val="4"/>
                <c:lvl>
                  <c:pt idx="0">
                    <c:v>goal</c:v>
                  </c:pt>
                  <c:pt idx="1">
                    <c:v>source</c:v>
                  </c:pt>
                  <c:pt idx="2">
                    <c:v>goal</c:v>
                  </c:pt>
                  <c:pt idx="3">
                    <c:v>source</c:v>
                  </c:pt>
                </c:lvl>
                <c:lvl>
                  <c:pt idx="0">
                    <c:v>subject</c:v>
                  </c:pt>
                  <c:pt idx="2">
                    <c:v>nonsubject</c:v>
                  </c:pt>
                </c:lvl>
              </c:multiLvlStrCache>
            </c:multiLvlStrRef>
          </c:cat>
          <c:val>
            <c:numRef>
              <c:f>'by subject graphs for paper'!$U$54:$U$57</c:f>
              <c:numCache>
                <c:formatCode>0%</c:formatCode>
                <c:ptCount val="4"/>
                <c:pt idx="0">
                  <c:v>0.16993464052287599</c:v>
                </c:pt>
                <c:pt idx="1">
                  <c:v>9.5238095238095205E-2</c:v>
                </c:pt>
                <c:pt idx="2">
                  <c:v>0.31089743589743601</c:v>
                </c:pt>
                <c:pt idx="3">
                  <c:v>0.19</c:v>
                </c:pt>
              </c:numCache>
            </c:numRef>
          </c:val>
          <c:extLst>
            <c:ext xmlns:c16="http://schemas.microsoft.com/office/drawing/2014/chart" uri="{C3380CC4-5D6E-409C-BE32-E72D297353CC}">
              <c16:uniqueId val="{00000000-FBD7-4DA6-9CCE-DE811E2844B3}"/>
            </c:ext>
          </c:extLst>
        </c:ser>
        <c:dLbls>
          <c:showLegendKey val="0"/>
          <c:showVal val="0"/>
          <c:showCatName val="0"/>
          <c:showSerName val="0"/>
          <c:showPercent val="0"/>
          <c:showBubbleSize val="0"/>
        </c:dLbls>
        <c:gapWidth val="150"/>
        <c:overlap val="100"/>
        <c:axId val="509940984"/>
        <c:axId val="509941376"/>
      </c:barChart>
      <c:catAx>
        <c:axId val="509940984"/>
        <c:scaling>
          <c:orientation val="minMax"/>
        </c:scaling>
        <c:delete val="0"/>
        <c:axPos val="b"/>
        <c:numFmt formatCode="General" sourceLinked="0"/>
        <c:majorTickMark val="out"/>
        <c:minorTickMark val="none"/>
        <c:tickLblPos val="nextTo"/>
        <c:crossAx val="509941376"/>
        <c:crosses val="autoZero"/>
        <c:auto val="1"/>
        <c:lblAlgn val="ctr"/>
        <c:lblOffset val="100"/>
        <c:noMultiLvlLbl val="0"/>
      </c:catAx>
      <c:valAx>
        <c:axId val="509941376"/>
        <c:scaling>
          <c:orientation val="minMax"/>
          <c:max val="0.4"/>
        </c:scaling>
        <c:delete val="0"/>
        <c:axPos val="l"/>
        <c:majorGridlines/>
        <c:title>
          <c:tx>
            <c:rich>
              <a:bodyPr rot="-5400000" vert="horz"/>
              <a:lstStyle/>
              <a:p>
                <a:pPr>
                  <a:defRPr/>
                </a:pPr>
                <a:r>
                  <a:rPr lang="en-US"/>
                  <a:t>% reference form</a:t>
                </a:r>
              </a:p>
            </c:rich>
          </c:tx>
          <c:overlay val="0"/>
        </c:title>
        <c:numFmt formatCode="0%" sourceLinked="1"/>
        <c:majorTickMark val="out"/>
        <c:minorTickMark val="none"/>
        <c:tickLblPos val="nextTo"/>
        <c:crossAx val="509940984"/>
        <c:crosses val="autoZero"/>
        <c:crossBetween val="between"/>
        <c:majorUnit val="0.1"/>
      </c:valAx>
    </c:plotArea>
    <c:plotVisOnly val="1"/>
    <c:dispBlanksAs val="gap"/>
    <c:showDLblsOverMax val="0"/>
  </c:chart>
  <c:txPr>
    <a:bodyPr/>
    <a:lstStyle/>
    <a:p>
      <a:pPr>
        <a:defRPr sz="1000">
          <a:latin typeface="Times"/>
          <a:cs typeface="Time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'latency graphs'!$B$48</c:f>
              <c:strCache>
                <c:ptCount val="1"/>
                <c:pt idx="0">
                  <c:v>subj</c:v>
                </c:pt>
              </c:strCache>
            </c:strRef>
          </c:tx>
          <c:spPr>
            <a:solidFill>
              <a:schemeClr val="tx1"/>
            </a:solidFill>
          </c:spPr>
          <c:invertIfNegative val="0"/>
          <c:cat>
            <c:strRef>
              <c:f>'latency graphs'!$C$47:$D$47</c:f>
              <c:strCache>
                <c:ptCount val="2"/>
                <c:pt idx="0">
                  <c:v>goal</c:v>
                </c:pt>
                <c:pt idx="1">
                  <c:v>source</c:v>
                </c:pt>
              </c:strCache>
            </c:strRef>
          </c:cat>
          <c:val>
            <c:numRef>
              <c:f>'latency graphs'!$C$48:$D$48</c:f>
              <c:numCache>
                <c:formatCode>General</c:formatCode>
                <c:ptCount val="2"/>
                <c:pt idx="0">
                  <c:v>2015.9035087719301</c:v>
                </c:pt>
                <c:pt idx="1">
                  <c:v>1981.4695652173909</c:v>
                </c:pt>
              </c:numCache>
            </c:numRef>
          </c:val>
          <c:extLst>
            <c:ext xmlns:c16="http://schemas.microsoft.com/office/drawing/2014/chart" uri="{C3380CC4-5D6E-409C-BE32-E72D297353CC}">
              <c16:uniqueId val="{00000000-C8BD-4CE6-915B-A728076FC75A}"/>
            </c:ext>
          </c:extLst>
        </c:ser>
        <c:ser>
          <c:idx val="1"/>
          <c:order val="1"/>
          <c:tx>
            <c:strRef>
              <c:f>'latency graphs'!$B$49</c:f>
              <c:strCache>
                <c:ptCount val="1"/>
                <c:pt idx="0">
                  <c:v>nonsubj</c:v>
                </c:pt>
              </c:strCache>
            </c:strRef>
          </c:tx>
          <c:spPr>
            <a:solidFill>
              <a:schemeClr val="bg1">
                <a:lumMod val="65000"/>
              </a:schemeClr>
            </a:solidFill>
          </c:spPr>
          <c:invertIfNegative val="0"/>
          <c:cat>
            <c:strRef>
              <c:f>'latency graphs'!$C$47:$D$47</c:f>
              <c:strCache>
                <c:ptCount val="2"/>
                <c:pt idx="0">
                  <c:v>goal</c:v>
                </c:pt>
                <c:pt idx="1">
                  <c:v>source</c:v>
                </c:pt>
              </c:strCache>
            </c:strRef>
          </c:cat>
          <c:val>
            <c:numRef>
              <c:f>'latency graphs'!$C$49:$D$49</c:f>
              <c:numCache>
                <c:formatCode>General</c:formatCode>
                <c:ptCount val="2"/>
                <c:pt idx="0">
                  <c:v>1763.5079365079359</c:v>
                </c:pt>
                <c:pt idx="1">
                  <c:v>2292.4414414414409</c:v>
                </c:pt>
              </c:numCache>
            </c:numRef>
          </c:val>
          <c:extLst>
            <c:ext xmlns:c16="http://schemas.microsoft.com/office/drawing/2014/chart" uri="{C3380CC4-5D6E-409C-BE32-E72D297353CC}">
              <c16:uniqueId val="{00000001-C8BD-4CE6-915B-A728076FC75A}"/>
            </c:ext>
          </c:extLst>
        </c:ser>
        <c:dLbls>
          <c:showLegendKey val="0"/>
          <c:showVal val="0"/>
          <c:showCatName val="0"/>
          <c:showSerName val="0"/>
          <c:showPercent val="0"/>
          <c:showBubbleSize val="0"/>
        </c:dLbls>
        <c:gapWidth val="150"/>
        <c:axId val="346986744"/>
        <c:axId val="346988704"/>
      </c:barChart>
      <c:catAx>
        <c:axId val="346986744"/>
        <c:scaling>
          <c:orientation val="minMax"/>
        </c:scaling>
        <c:delete val="0"/>
        <c:axPos val="b"/>
        <c:numFmt formatCode="General" sourceLinked="0"/>
        <c:majorTickMark val="out"/>
        <c:minorTickMark val="none"/>
        <c:tickLblPos val="nextTo"/>
        <c:crossAx val="346988704"/>
        <c:crosses val="autoZero"/>
        <c:auto val="1"/>
        <c:lblAlgn val="ctr"/>
        <c:lblOffset val="100"/>
        <c:noMultiLvlLbl val="0"/>
      </c:catAx>
      <c:valAx>
        <c:axId val="346988704"/>
        <c:scaling>
          <c:orientation val="minMax"/>
        </c:scaling>
        <c:delete val="0"/>
        <c:axPos val="l"/>
        <c:majorGridlines/>
        <c:title>
          <c:tx>
            <c:rich>
              <a:bodyPr/>
              <a:lstStyle/>
              <a:p>
                <a:pPr>
                  <a:defRPr/>
                </a:pPr>
                <a:r>
                  <a:rPr lang="en-US"/>
                  <a:t>latency (ms)</a:t>
                </a:r>
              </a:p>
            </c:rich>
          </c:tx>
          <c:overlay val="0"/>
        </c:title>
        <c:numFmt formatCode="General" sourceLinked="1"/>
        <c:majorTickMark val="out"/>
        <c:minorTickMark val="none"/>
        <c:tickLblPos val="nextTo"/>
        <c:crossAx val="346986744"/>
        <c:crosses val="autoZero"/>
        <c:crossBetween val="between"/>
      </c:valAx>
    </c:plotArea>
    <c:legend>
      <c:legendPos val="r"/>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0.28187</cdr:x>
      <cdr:y>0.37869</cdr:y>
    </cdr:from>
    <cdr:to>
      <cdr:x>0.44091</cdr:x>
      <cdr:y>0.41205</cdr:y>
    </cdr:to>
    <cdr:sp macro="" textlink="">
      <cdr:nvSpPr>
        <cdr:cNvPr id="2" name="Left Bracket 1"/>
        <cdr:cNvSpPr/>
      </cdr:nvSpPr>
      <cdr:spPr>
        <a:xfrm xmlns:a="http://schemas.openxmlformats.org/drawingml/2006/main" rot="5400000">
          <a:off x="1002290" y="638556"/>
          <a:ext cx="73161" cy="457199"/>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0.67948</cdr:x>
      <cdr:y>0.37869</cdr:y>
    </cdr:from>
    <cdr:to>
      <cdr:x>0.83852</cdr:x>
      <cdr:y>0.41205</cdr:y>
    </cdr:to>
    <cdr:sp macro="" textlink="">
      <cdr:nvSpPr>
        <cdr:cNvPr id="3" name="Left Bracket 2"/>
        <cdr:cNvSpPr/>
      </cdr:nvSpPr>
      <cdr:spPr>
        <a:xfrm xmlns:a="http://schemas.openxmlformats.org/drawingml/2006/main" rot="5400000">
          <a:off x="2145274" y="638556"/>
          <a:ext cx="73161" cy="457199"/>
        </a:xfrm>
        <a:prstGeom xmlns:a="http://schemas.openxmlformats.org/drawingml/2006/main" prst="leftBracket">
          <a:avLst/>
        </a:prstGeom>
        <a:ln xmlns:a="http://schemas.openxmlformats.org/drawingml/2006/main">
          <a:solidFill>
            <a:srgbClr val="00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0.36139</cdr:x>
      <cdr:y>0.27446</cdr:y>
    </cdr:from>
    <cdr:to>
      <cdr:x>0.71924</cdr:x>
      <cdr:y>0.30782</cdr:y>
    </cdr:to>
    <cdr:sp macro="" textlink="">
      <cdr:nvSpPr>
        <cdr:cNvPr id="4" name="Left Bracket 3"/>
        <cdr:cNvSpPr/>
      </cdr:nvSpPr>
      <cdr:spPr>
        <a:xfrm xmlns:a="http://schemas.openxmlformats.org/drawingml/2006/main" rot="5400000">
          <a:off x="1516628" y="124205"/>
          <a:ext cx="73162" cy="1028706"/>
        </a:xfrm>
        <a:prstGeom xmlns:a="http://schemas.openxmlformats.org/drawingml/2006/main" prst="leftBracket">
          <a:avLst/>
        </a:prstGeom>
        <a:ln xmlns:a="http://schemas.openxmlformats.org/drawingml/2006/main">
          <a:solidFill>
            <a:srgbClr val="00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0.48067</cdr:x>
      <cdr:y>0.17024</cdr:y>
    </cdr:from>
    <cdr:to>
      <cdr:x>0.71924</cdr:x>
      <cdr:y>0.27446</cdr:y>
    </cdr:to>
    <cdr:sp macro="" textlink="">
      <cdr:nvSpPr>
        <cdr:cNvPr id="5" name="Text Box 4"/>
        <cdr:cNvSpPr txBox="1"/>
      </cdr:nvSpPr>
      <cdr:spPr>
        <a:xfrm xmlns:a="http://schemas.openxmlformats.org/drawingml/2006/main">
          <a:off x="1381748" y="373380"/>
          <a:ext cx="685814" cy="228597"/>
        </a:xfrm>
        <a:prstGeom xmlns:a="http://schemas.openxmlformats.org/drawingml/2006/main" prst="rect">
          <a:avLst/>
        </a:prstGeom>
      </cdr:spPr>
    </cdr:sp>
  </cdr:relSizeAnchor>
  <cdr:relSizeAnchor xmlns:cdr="http://schemas.openxmlformats.org/drawingml/2006/chartDrawing">
    <cdr:from>
      <cdr:x>0.45726</cdr:x>
      <cdr:y>0.17805</cdr:y>
    </cdr:from>
    <cdr:to>
      <cdr:x>0.58662</cdr:x>
      <cdr:y>0.31426</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14450" y="390525"/>
          <a:ext cx="371888" cy="29873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0.30649</cdr:x>
      <cdr:y>0.55819</cdr:y>
    </cdr:from>
    <cdr:to>
      <cdr:x>0.46278</cdr:x>
      <cdr:y>0.59155</cdr:y>
    </cdr:to>
    <cdr:sp macro="" textlink="">
      <cdr:nvSpPr>
        <cdr:cNvPr id="2" name="Left Bracket 1"/>
        <cdr:cNvSpPr/>
      </cdr:nvSpPr>
      <cdr:spPr>
        <a:xfrm xmlns:a="http://schemas.openxmlformats.org/drawingml/2006/main" rot="5400000">
          <a:off x="1088643" y="1032251"/>
          <a:ext cx="73161" cy="457217"/>
        </a:xfrm>
        <a:prstGeom xmlns:a="http://schemas.openxmlformats.org/drawingml/2006/main" prst="leftBracket">
          <a:avLst/>
        </a:prstGeom>
        <a:ln xmlns:a="http://schemas.openxmlformats.org/drawingml/2006/main">
          <a:solidFill>
            <a:srgbClr val="00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0.65813</cdr:x>
      <cdr:y>0.34974</cdr:y>
    </cdr:from>
    <cdr:to>
      <cdr:x>0.81442</cdr:x>
      <cdr:y>0.38309</cdr:y>
    </cdr:to>
    <cdr:sp macro="" textlink="">
      <cdr:nvSpPr>
        <cdr:cNvPr id="3" name="Left Bracket 2"/>
        <cdr:cNvSpPr/>
      </cdr:nvSpPr>
      <cdr:spPr>
        <a:xfrm xmlns:a="http://schemas.openxmlformats.org/drawingml/2006/main" rot="5400000">
          <a:off x="2117356" y="575045"/>
          <a:ext cx="73140" cy="457217"/>
        </a:xfrm>
        <a:prstGeom xmlns:a="http://schemas.openxmlformats.org/drawingml/2006/main" prst="leftBracket">
          <a:avLst/>
        </a:prstGeom>
        <a:ln xmlns:a="http://schemas.openxmlformats.org/drawingml/2006/main">
          <a:solidFill>
            <a:srgbClr val="00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0.69677</cdr:x>
      <cdr:y>0.24754</cdr:y>
    </cdr:from>
    <cdr:to>
      <cdr:x>0.77804</cdr:x>
      <cdr:y>0.38374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38350" y="542925"/>
          <a:ext cx="237765" cy="298730"/>
        </a:xfrm>
        <a:prstGeom xmlns:a="http://schemas.openxmlformats.org/drawingml/2006/main" prst="rect">
          <a:avLst/>
        </a:prstGeom>
      </cdr:spPr>
    </cdr:pic>
  </cdr:relSizeAnchor>
  <cdr:relSizeAnchor xmlns:cdr="http://schemas.openxmlformats.org/drawingml/2006/chartDrawing">
    <cdr:from>
      <cdr:x>0.32559</cdr:x>
      <cdr:y>0.44731</cdr:y>
    </cdr:from>
    <cdr:to>
      <cdr:x>0.42771</cdr:x>
      <cdr:y>0.58351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952500" y="981075"/>
          <a:ext cx="298730" cy="298730"/>
        </a:xfrm>
        <a:prstGeom xmlns:a="http://schemas.openxmlformats.org/drawingml/2006/main" prst="rect">
          <a:avLst/>
        </a:prstGeom>
      </cdr:spPr>
    </cdr:pic>
  </cdr:relSizeAnchor>
  <cdr:relSizeAnchor xmlns:cdr="http://schemas.openxmlformats.org/drawingml/2006/chartDrawing">
    <cdr:from>
      <cdr:x>0.38794</cdr:x>
      <cdr:y>0.25121</cdr:y>
    </cdr:from>
    <cdr:to>
      <cdr:x>0.73958</cdr:x>
      <cdr:y>0.28457</cdr:y>
    </cdr:to>
    <cdr:sp macro="" textlink="">
      <cdr:nvSpPr>
        <cdr:cNvPr id="6" name="Left Bracket 5"/>
        <cdr:cNvSpPr/>
      </cdr:nvSpPr>
      <cdr:spPr>
        <a:xfrm xmlns:a="http://schemas.openxmlformats.org/drawingml/2006/main" rot="5400000">
          <a:off x="1551437" y="92300"/>
          <a:ext cx="73168" cy="990521"/>
        </a:xfrm>
        <a:prstGeom xmlns:a="http://schemas.openxmlformats.org/drawingml/2006/main" prst="leftBracket">
          <a:avLst/>
        </a:prstGeom>
        <a:ln xmlns:a="http://schemas.openxmlformats.org/drawingml/2006/main">
          <a:solidFill>
            <a:srgbClr val="00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0.48214</cdr:x>
      <cdr:y>0.1548</cdr:y>
    </cdr:from>
    <cdr:to>
      <cdr:x>0.60926</cdr:x>
      <cdr:y>0.29101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358109" y="339522"/>
          <a:ext cx="358079" cy="298748"/>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0.71137</cdr:x>
      <cdr:y>0.31438</cdr:y>
    </cdr:from>
    <cdr:to>
      <cdr:x>0.87449</cdr:x>
      <cdr:y>0.34681</cdr:y>
    </cdr:to>
    <cdr:sp macro="" textlink="">
      <cdr:nvSpPr>
        <cdr:cNvPr id="2" name="Left Bracket 1"/>
        <cdr:cNvSpPr/>
      </cdr:nvSpPr>
      <cdr:spPr>
        <a:xfrm xmlns:a="http://schemas.openxmlformats.org/drawingml/2006/main" rot="5400000">
          <a:off x="2185918" y="517274"/>
          <a:ext cx="73160" cy="457202"/>
        </a:xfrm>
        <a:prstGeom xmlns:a="http://schemas.openxmlformats.org/drawingml/2006/main" prst="leftBracket">
          <a:avLst/>
        </a:prstGeom>
        <a:ln xmlns:a="http://schemas.openxmlformats.org/drawingml/2006/main">
          <a:solidFill>
            <a:srgbClr val="00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0.38513</cdr:x>
      <cdr:y>0.31438</cdr:y>
    </cdr:from>
    <cdr:to>
      <cdr:x>0.54825</cdr:x>
      <cdr:y>0.34681</cdr:y>
    </cdr:to>
    <cdr:sp macro="" textlink="">
      <cdr:nvSpPr>
        <cdr:cNvPr id="3" name="Left Bracket 2"/>
        <cdr:cNvSpPr/>
      </cdr:nvSpPr>
      <cdr:spPr>
        <a:xfrm xmlns:a="http://schemas.openxmlformats.org/drawingml/2006/main" rot="5400000">
          <a:off x="1271513" y="517275"/>
          <a:ext cx="73160" cy="457203"/>
        </a:xfrm>
        <a:prstGeom xmlns:a="http://schemas.openxmlformats.org/drawingml/2006/main" prst="leftBracket">
          <a:avLst/>
        </a:prstGeom>
        <a:ln xmlns:a="http://schemas.openxmlformats.org/drawingml/2006/main">
          <a:solidFill>
            <a:srgbClr val="00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0.46183</cdr:x>
      <cdr:y>0.25768</cdr:y>
    </cdr:from>
    <cdr:to>
      <cdr:x>0.78806</cdr:x>
      <cdr:y>0.2901</cdr:y>
    </cdr:to>
    <cdr:sp macro="" textlink="">
      <cdr:nvSpPr>
        <cdr:cNvPr id="4" name="Left Bracket 3"/>
        <cdr:cNvSpPr/>
      </cdr:nvSpPr>
      <cdr:spPr>
        <a:xfrm xmlns:a="http://schemas.openxmlformats.org/drawingml/2006/main" rot="5400000">
          <a:off x="1715078" y="160734"/>
          <a:ext cx="73139" cy="914405"/>
        </a:xfrm>
        <a:prstGeom xmlns:a="http://schemas.openxmlformats.org/drawingml/2006/main" prst="leftBracket">
          <a:avLst/>
        </a:prstGeom>
        <a:ln xmlns:a="http://schemas.openxmlformats.org/drawingml/2006/main">
          <a:solidFill>
            <a:srgbClr val="00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0.54825</cdr:x>
      <cdr:y>0.1745</cdr:y>
    </cdr:from>
    <cdr:to>
      <cdr:x>0.87449</cdr:x>
      <cdr:y>0.27583</cdr:y>
    </cdr:to>
    <cdr:sp macro="" textlink="">
      <cdr:nvSpPr>
        <cdr:cNvPr id="5" name="Text Box 1"/>
        <cdr:cNvSpPr txBox="1"/>
      </cdr:nvSpPr>
      <cdr:spPr>
        <a:xfrm xmlns:a="http://schemas.openxmlformats.org/drawingml/2006/main">
          <a:off x="1536694" y="393706"/>
          <a:ext cx="914405" cy="228604"/>
        </a:xfrm>
        <a:prstGeom xmlns:a="http://schemas.openxmlformats.org/drawingml/2006/main" prst="rect">
          <a:avLst/>
        </a:prstGeom>
      </cdr:spPr>
    </cdr:sp>
  </cdr:relSizeAnchor>
  <cdr:relSizeAnchor xmlns:cdr="http://schemas.openxmlformats.org/drawingml/2006/chartDrawing">
    <cdr:from>
      <cdr:x>0.53561</cdr:x>
      <cdr:y>0.16938</cdr:y>
    </cdr:from>
    <cdr:to>
      <cdr:x>0.66829</cdr:x>
      <cdr:y>0.30178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01253" y="382138"/>
          <a:ext cx="371888" cy="2987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DA2D-4E2D-42A2-B426-FF28427A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52</Pages>
  <Words>11215</Words>
  <Characters>63928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74994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Jennifer Arnold</dc:creator>
  <cp:keywords/>
  <dc:description/>
  <cp:lastModifiedBy>Arnold, Jennifer E.</cp:lastModifiedBy>
  <cp:revision>196</cp:revision>
  <cp:lastPrinted>2018-03-17T17:48:00Z</cp:lastPrinted>
  <dcterms:created xsi:type="dcterms:W3CDTF">2018-03-29T15:34:00Z</dcterms:created>
  <dcterms:modified xsi:type="dcterms:W3CDTF">2021-12-02T15:49:00Z</dcterms:modified>
  <cp:category/>
</cp:coreProperties>
</file>